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71DC0" w:rsidRDefault="00D26D5E">
      <w:pPr>
        <w:spacing w:after="0" w:line="259" w:lineRule="auto"/>
        <w:ind w:left="1" w:firstLine="0"/>
        <w:jc w:val="center"/>
        <w:rPr>
          <w:b/>
          <w:color w:val="000000"/>
          <w:sz w:val="22"/>
          <w:u w:val="single" w:color="000000"/>
        </w:rPr>
      </w:pPr>
      <w:r>
        <w:rPr>
          <w:b/>
          <w:color w:val="000000"/>
          <w:sz w:val="22"/>
          <w:u w:val="single" w:color="000000"/>
        </w:rPr>
        <w:t>The Pandemic Wave – Basics are Essential in 2020</w:t>
      </w:r>
      <w:r w:rsidR="000C01DF">
        <w:rPr>
          <w:b/>
          <w:color w:val="000000"/>
          <w:sz w:val="22"/>
          <w:u w:val="single" w:color="000000"/>
        </w:rPr>
        <w:t xml:space="preserve">:  </w:t>
      </w:r>
    </w:p>
    <w:p w:rsidR="00804BCA" w:rsidRDefault="00D26D5E">
      <w:pPr>
        <w:spacing w:after="0" w:line="259" w:lineRule="auto"/>
        <w:ind w:left="1" w:firstLine="0"/>
        <w:jc w:val="center"/>
      </w:pPr>
      <w:proofErr w:type="spellStart"/>
      <w:r>
        <w:rPr>
          <w:b/>
          <w:color w:val="000000"/>
          <w:sz w:val="22"/>
          <w:u w:val="single" w:color="000000"/>
        </w:rPr>
        <w:t>Covid</w:t>
      </w:r>
      <w:proofErr w:type="spellEnd"/>
      <w:r>
        <w:rPr>
          <w:b/>
          <w:color w:val="000000"/>
          <w:sz w:val="22"/>
          <w:u w:val="single" w:color="000000"/>
        </w:rPr>
        <w:t xml:space="preserve"> -19 and</w:t>
      </w:r>
      <w:r w:rsidR="000C01DF">
        <w:rPr>
          <w:b/>
          <w:color w:val="000000"/>
          <w:sz w:val="22"/>
          <w:u w:val="single" w:color="000000"/>
        </w:rPr>
        <w:t xml:space="preserve"> Personal </w:t>
      </w:r>
      <w:r w:rsidR="00D71DC0">
        <w:rPr>
          <w:b/>
          <w:color w:val="000000"/>
          <w:sz w:val="22"/>
          <w:u w:val="single" w:color="000000"/>
        </w:rPr>
        <w:t xml:space="preserve">Property </w:t>
      </w:r>
      <w:r w:rsidR="000C01DF">
        <w:rPr>
          <w:b/>
          <w:color w:val="000000"/>
          <w:sz w:val="22"/>
          <w:u w:val="single" w:color="000000"/>
        </w:rPr>
        <w:t>Securities</w:t>
      </w:r>
      <w:r w:rsidR="00D71DC0">
        <w:rPr>
          <w:b/>
          <w:color w:val="000000"/>
          <w:sz w:val="22"/>
          <w:u w:val="single" w:color="000000"/>
        </w:rPr>
        <w:t xml:space="preserve"> Act 2009 (</w:t>
      </w:r>
      <w:proofErr w:type="spellStart"/>
      <w:r w:rsidR="00D71DC0">
        <w:rPr>
          <w:b/>
          <w:color w:val="000000"/>
          <w:sz w:val="22"/>
          <w:u w:val="single" w:color="000000"/>
        </w:rPr>
        <w:t>Cth</w:t>
      </w:r>
      <w:proofErr w:type="spellEnd"/>
      <w:r w:rsidR="00D71DC0">
        <w:rPr>
          <w:b/>
          <w:color w:val="000000"/>
          <w:sz w:val="22"/>
          <w:u w:val="single" w:color="000000"/>
        </w:rPr>
        <w:t>) (PPSA)</w:t>
      </w:r>
      <w:r w:rsidR="000C01DF">
        <w:rPr>
          <w:b/>
          <w:color w:val="000000"/>
          <w:sz w:val="22"/>
          <w:u w:val="single" w:color="000000"/>
        </w:rPr>
        <w:t xml:space="preserve"> </w:t>
      </w:r>
    </w:p>
    <w:p w:rsidR="00804BCA" w:rsidRDefault="000C01DF" w:rsidP="00D26D5E">
      <w:pPr>
        <w:spacing w:after="0" w:line="259" w:lineRule="auto"/>
        <w:ind w:left="60" w:firstLine="0"/>
        <w:jc w:val="center"/>
      </w:pPr>
      <w:r>
        <w:rPr>
          <w:color w:val="000000"/>
        </w:rPr>
        <w:t xml:space="preserve"> </w:t>
      </w:r>
      <w:r>
        <w:t xml:space="preserve"> </w:t>
      </w:r>
    </w:p>
    <w:p w:rsidR="00804BCA" w:rsidRDefault="000C01DF">
      <w:pPr>
        <w:spacing w:after="0" w:line="259" w:lineRule="auto"/>
        <w:ind w:left="10" w:hanging="10"/>
        <w:jc w:val="center"/>
      </w:pPr>
      <w:r>
        <w:t xml:space="preserve">Presented by Mark McKillop </w:t>
      </w:r>
    </w:p>
    <w:p w:rsidR="00804BCA" w:rsidRDefault="000C01DF">
      <w:pPr>
        <w:spacing w:after="0" w:line="259" w:lineRule="auto"/>
        <w:ind w:left="10" w:hanging="10"/>
        <w:jc w:val="center"/>
      </w:pPr>
      <w:r>
        <w:t xml:space="preserve">Barrister of </w:t>
      </w:r>
      <w:proofErr w:type="spellStart"/>
      <w:r>
        <w:t>Castan</w:t>
      </w:r>
      <w:proofErr w:type="spellEnd"/>
      <w:r>
        <w:t xml:space="preserve"> Chambers Level 14. </w:t>
      </w:r>
    </w:p>
    <w:p w:rsidR="00804BCA" w:rsidRDefault="000C01DF">
      <w:pPr>
        <w:spacing w:after="0" w:line="259" w:lineRule="auto"/>
        <w:ind w:left="60" w:firstLine="0"/>
        <w:jc w:val="center"/>
      </w:pPr>
      <w:r>
        <w:t xml:space="preserve"> </w:t>
      </w:r>
    </w:p>
    <w:p w:rsidR="00804BCA" w:rsidRDefault="000C01DF">
      <w:pPr>
        <w:spacing w:after="0" w:line="259" w:lineRule="auto"/>
        <w:ind w:left="0" w:firstLine="0"/>
        <w:jc w:val="center"/>
      </w:pPr>
      <w:r>
        <w:rPr>
          <w:b/>
          <w:color w:val="000000"/>
        </w:rPr>
        <w:t xml:space="preserve">Foley’s List Victorian Bar </w:t>
      </w:r>
    </w:p>
    <w:p w:rsidR="00804BCA" w:rsidRDefault="000C01DF">
      <w:pPr>
        <w:spacing w:after="0" w:line="248" w:lineRule="auto"/>
        <w:ind w:left="2363" w:right="2353" w:hanging="10"/>
        <w:jc w:val="center"/>
      </w:pPr>
      <w:r>
        <w:rPr>
          <w:color w:val="000000"/>
        </w:rPr>
        <w:t xml:space="preserve">Telephone 9225 7592 </w:t>
      </w:r>
    </w:p>
    <w:p w:rsidR="00804BCA" w:rsidRDefault="000C01DF">
      <w:pPr>
        <w:spacing w:after="0" w:line="248" w:lineRule="auto"/>
        <w:ind w:left="2363" w:right="2293" w:hanging="10"/>
        <w:jc w:val="center"/>
      </w:pPr>
      <w:r>
        <w:rPr>
          <w:color w:val="000000"/>
        </w:rPr>
        <w:t xml:space="preserve">Email mark.mckillop@vicbar.com.au Mobile 0402 891 370 </w:t>
      </w:r>
    </w:p>
    <w:p w:rsidR="00804BCA" w:rsidRDefault="000C01DF">
      <w:pPr>
        <w:spacing w:after="0" w:line="259" w:lineRule="auto"/>
        <w:ind w:left="60" w:firstLine="0"/>
        <w:jc w:val="center"/>
      </w:pPr>
      <w:r>
        <w:t xml:space="preserve"> </w:t>
      </w:r>
    </w:p>
    <w:p w:rsidR="00804BCA" w:rsidRDefault="000C01DF">
      <w:pPr>
        <w:spacing w:after="0" w:line="259" w:lineRule="auto"/>
        <w:ind w:left="0" w:firstLine="0"/>
      </w:pPr>
      <w:r>
        <w:t xml:space="preserve"> </w:t>
      </w:r>
    </w:p>
    <w:p w:rsidR="00804BCA" w:rsidRDefault="000C01DF">
      <w:pPr>
        <w:pStyle w:val="Heading1"/>
        <w:ind w:left="-5"/>
      </w:pPr>
      <w:r>
        <w:t>A.</w:t>
      </w:r>
      <w:r>
        <w:rPr>
          <w:rFonts w:ascii="Arial" w:eastAsia="Arial" w:hAnsi="Arial" w:cs="Arial"/>
        </w:rPr>
        <w:t xml:space="preserve"> </w:t>
      </w:r>
      <w:r>
        <w:t xml:space="preserve">Introduction </w:t>
      </w:r>
    </w:p>
    <w:p w:rsidR="00804BCA" w:rsidRDefault="000C01DF">
      <w:pPr>
        <w:spacing w:after="0" w:line="259" w:lineRule="auto"/>
        <w:ind w:left="0" w:firstLine="0"/>
      </w:pPr>
      <w:r>
        <w:t xml:space="preserve"> </w:t>
      </w:r>
    </w:p>
    <w:p w:rsidR="00D71DC0" w:rsidRDefault="00D71DC0" w:rsidP="005602CD">
      <w:pPr>
        <w:numPr>
          <w:ilvl w:val="0"/>
          <w:numId w:val="1"/>
        </w:numPr>
      </w:pPr>
      <w:r>
        <w:t>The k</w:t>
      </w:r>
      <w:r w:rsidRPr="00D71DC0">
        <w:t>ey message for practitioners coming out of the lockdown is</w:t>
      </w:r>
      <w:r>
        <w:t>:</w:t>
      </w:r>
    </w:p>
    <w:p w:rsidR="00D71DC0" w:rsidRDefault="00D71DC0" w:rsidP="00D71DC0">
      <w:pPr>
        <w:numPr>
          <w:ilvl w:val="1"/>
          <w:numId w:val="1"/>
        </w:numPr>
      </w:pPr>
      <w:r w:rsidRPr="00D71DC0">
        <w:t>know the basics</w:t>
      </w:r>
      <w:r>
        <w:t>;</w:t>
      </w:r>
    </w:p>
    <w:p w:rsidR="00D71DC0" w:rsidRDefault="00D71DC0" w:rsidP="00D71DC0">
      <w:pPr>
        <w:numPr>
          <w:ilvl w:val="1"/>
          <w:numId w:val="1"/>
        </w:numPr>
      </w:pPr>
      <w:r w:rsidRPr="00D71DC0">
        <w:t>make sure that clients take steps to protect themselves from simple mistakes</w:t>
      </w:r>
      <w:r>
        <w:t>;</w:t>
      </w:r>
    </w:p>
    <w:p w:rsidR="00D71DC0" w:rsidRDefault="00D71DC0" w:rsidP="00D71DC0">
      <w:pPr>
        <w:numPr>
          <w:ilvl w:val="1"/>
          <w:numId w:val="1"/>
        </w:numPr>
      </w:pPr>
      <w:r w:rsidRPr="00D71DC0">
        <w:t xml:space="preserve">in an environment where </w:t>
      </w:r>
      <w:r w:rsidR="0055383F">
        <w:t xml:space="preserve">a pandemic of </w:t>
      </w:r>
      <w:r w:rsidRPr="00D71DC0">
        <w:t>insolven</w:t>
      </w:r>
      <w:r w:rsidR="0055383F">
        <w:t xml:space="preserve">cy is a real risk, </w:t>
      </w:r>
      <w:r>
        <w:t>errors in dealing with the PPSA will be costlier than ever.</w:t>
      </w:r>
    </w:p>
    <w:p w:rsidR="00C1020F" w:rsidRDefault="00D71DC0" w:rsidP="00C1020F">
      <w:pPr>
        <w:ind w:left="422" w:firstLine="0"/>
      </w:pPr>
      <w:r w:rsidRPr="00D71DC0">
        <w:t xml:space="preserve"> </w:t>
      </w:r>
    </w:p>
    <w:p w:rsidR="00C1020F" w:rsidRDefault="00C1020F" w:rsidP="00C1020F">
      <w:pPr>
        <w:numPr>
          <w:ilvl w:val="0"/>
          <w:numId w:val="1"/>
        </w:numPr>
      </w:pPr>
      <w:r>
        <w:t>The main impact of the PPSA is in insolvency.  The first thing a liquidator, administrator or bankruptcy trustee will do when appointed is search the PPSR for relevant registrations.</w:t>
      </w:r>
    </w:p>
    <w:p w:rsidR="00C1020F" w:rsidRDefault="00C1020F" w:rsidP="00C1020F">
      <w:pPr>
        <w:ind w:left="360" w:firstLine="0"/>
      </w:pPr>
    </w:p>
    <w:p w:rsidR="00C1020F" w:rsidRDefault="00C1020F" w:rsidP="00C1020F">
      <w:pPr>
        <w:numPr>
          <w:ilvl w:val="0"/>
          <w:numId w:val="1"/>
        </w:numPr>
      </w:pPr>
      <w:r>
        <w:t>A first-ranking secured party can then generally choose whether to enforce their security and take the property or get priority of payment from the sale of the property.</w:t>
      </w:r>
    </w:p>
    <w:p w:rsidR="00C1020F" w:rsidRDefault="00C1020F" w:rsidP="00C1020F">
      <w:pPr>
        <w:ind w:left="360" w:firstLine="0"/>
      </w:pPr>
    </w:p>
    <w:p w:rsidR="00C1020F" w:rsidRDefault="00C1020F" w:rsidP="00C1020F">
      <w:pPr>
        <w:numPr>
          <w:ilvl w:val="0"/>
          <w:numId w:val="1"/>
        </w:numPr>
      </w:pPr>
      <w:r>
        <w:t>In most appointments of liquidators or bankruptcy trustees, unsecured creditors will either receive nothing or very few cents in the dollar.  Therefore, if you propose to offer funds or goods to a person or entity, securing the obligation should be the first thing on your mind.</w:t>
      </w:r>
    </w:p>
    <w:p w:rsidR="00C1020F" w:rsidRDefault="00C1020F" w:rsidP="00C1020F">
      <w:pPr>
        <w:ind w:left="360" w:firstLine="0"/>
      </w:pPr>
    </w:p>
    <w:p w:rsidR="00C1020F" w:rsidRDefault="00C1020F" w:rsidP="00C1020F">
      <w:pPr>
        <w:numPr>
          <w:ilvl w:val="0"/>
          <w:numId w:val="1"/>
        </w:numPr>
      </w:pPr>
      <w:r>
        <w:t>To take security over personal property, you will need two things:</w:t>
      </w:r>
    </w:p>
    <w:p w:rsidR="00C1020F" w:rsidRDefault="00C1020F" w:rsidP="00C1020F">
      <w:pPr>
        <w:ind w:left="360" w:firstLine="0"/>
      </w:pPr>
    </w:p>
    <w:p w:rsidR="00C1020F" w:rsidRDefault="00C1020F" w:rsidP="00C1020F">
      <w:pPr>
        <w:numPr>
          <w:ilvl w:val="1"/>
          <w:numId w:val="1"/>
        </w:numPr>
      </w:pPr>
      <w:r>
        <w:t>a security agreement that is well drafted:  usually within your terms of trade, or in a separate document; and</w:t>
      </w:r>
    </w:p>
    <w:p w:rsidR="00C1020F" w:rsidRDefault="00C1020F" w:rsidP="00C1020F">
      <w:pPr>
        <w:numPr>
          <w:ilvl w:val="1"/>
          <w:numId w:val="1"/>
        </w:numPr>
      </w:pPr>
      <w:r>
        <w:t>to register that security on the PPSR.</w:t>
      </w:r>
    </w:p>
    <w:p w:rsidR="00C1020F" w:rsidRDefault="00C1020F" w:rsidP="00C1020F">
      <w:pPr>
        <w:ind w:left="360" w:firstLine="0"/>
      </w:pPr>
    </w:p>
    <w:p w:rsidR="00E6129A" w:rsidRDefault="00E6129A" w:rsidP="00D71DC0">
      <w:pPr>
        <w:numPr>
          <w:ilvl w:val="0"/>
          <w:numId w:val="1"/>
        </w:numPr>
      </w:pPr>
      <w:r>
        <w:t>The basics:</w:t>
      </w:r>
    </w:p>
    <w:p w:rsidR="00E6129A" w:rsidRDefault="00554B1C" w:rsidP="00E6129A">
      <w:pPr>
        <w:numPr>
          <w:ilvl w:val="1"/>
          <w:numId w:val="1"/>
        </w:numPr>
      </w:pPr>
      <w:r>
        <w:t>w</w:t>
      </w:r>
      <w:r w:rsidR="00E6129A">
        <w:t>hat is a security interest;</w:t>
      </w:r>
    </w:p>
    <w:p w:rsidR="00E6129A" w:rsidRDefault="00554B1C" w:rsidP="00E6129A">
      <w:pPr>
        <w:numPr>
          <w:ilvl w:val="1"/>
          <w:numId w:val="1"/>
        </w:numPr>
      </w:pPr>
      <w:r>
        <w:t>w</w:t>
      </w:r>
      <w:r w:rsidR="00E6129A">
        <w:t>hy to register</w:t>
      </w:r>
    </w:p>
    <w:p w:rsidR="00E6129A" w:rsidRDefault="00554B1C" w:rsidP="00E6129A">
      <w:pPr>
        <w:numPr>
          <w:ilvl w:val="1"/>
          <w:numId w:val="1"/>
        </w:numPr>
      </w:pPr>
      <w:r>
        <w:t>h</w:t>
      </w:r>
      <w:r w:rsidR="00E6129A">
        <w:t>ow to register</w:t>
      </w:r>
    </w:p>
    <w:p w:rsidR="00554B1C" w:rsidRDefault="00554B1C" w:rsidP="00F67A47">
      <w:pPr>
        <w:ind w:left="0" w:firstLine="0"/>
      </w:pPr>
    </w:p>
    <w:p w:rsidR="00554B1C" w:rsidRPr="00554B1C" w:rsidRDefault="00554B1C" w:rsidP="00554B1C">
      <w:pPr>
        <w:rPr>
          <w:b/>
          <w:bCs/>
        </w:rPr>
      </w:pPr>
      <w:r w:rsidRPr="00554B1C">
        <w:rPr>
          <w:b/>
          <w:bCs/>
        </w:rPr>
        <w:t>B.</w:t>
      </w:r>
      <w:r w:rsidRPr="00554B1C">
        <w:rPr>
          <w:b/>
          <w:bCs/>
        </w:rPr>
        <w:tab/>
        <w:t>The Post Pandemic Landscape</w:t>
      </w:r>
    </w:p>
    <w:p w:rsidR="00554B1C" w:rsidRPr="00554B1C" w:rsidRDefault="00554B1C" w:rsidP="00554B1C"/>
    <w:p w:rsidR="00D26D5E" w:rsidRDefault="00D71DC0" w:rsidP="00D71DC0">
      <w:pPr>
        <w:numPr>
          <w:ilvl w:val="0"/>
          <w:numId w:val="1"/>
        </w:numPr>
      </w:pPr>
      <w:r>
        <w:lastRenderedPageBreak/>
        <w:t xml:space="preserve">Whilst there have been no </w:t>
      </w:r>
      <w:r w:rsidR="00D26D5E">
        <w:t>legislative changes to the</w:t>
      </w:r>
      <w:r w:rsidR="00F67A47">
        <w:t xml:space="preserve"> PPSA</w:t>
      </w:r>
      <w:r w:rsidR="00D26D5E">
        <w:t xml:space="preserve"> itse</w:t>
      </w:r>
      <w:r w:rsidR="00431902">
        <w:t>l</w:t>
      </w:r>
      <w:r w:rsidR="00D26D5E">
        <w:t>f</w:t>
      </w:r>
      <w:r w:rsidR="00431902">
        <w:t xml:space="preserve">, the </w:t>
      </w:r>
      <w:r w:rsidR="00D26D5E">
        <w:t xml:space="preserve">government's </w:t>
      </w:r>
      <w:proofErr w:type="spellStart"/>
      <w:r w:rsidR="00F67A47">
        <w:t>C</w:t>
      </w:r>
      <w:r w:rsidR="00D26D5E">
        <w:t>ov</w:t>
      </w:r>
      <w:r w:rsidR="00F67A47">
        <w:t>id</w:t>
      </w:r>
      <w:proofErr w:type="spellEnd"/>
      <w:r w:rsidR="00F67A47">
        <w:t xml:space="preserve"> </w:t>
      </w:r>
      <w:r w:rsidR="00D26D5E">
        <w:t>insolvency package</w:t>
      </w:r>
      <w:r w:rsidR="00431902">
        <w:t xml:space="preserve"> is likely to delay, but not prevent, a surge in debt default and insolvencies in the final quarter of this year and into 2021.</w:t>
      </w:r>
    </w:p>
    <w:p w:rsidR="00D26D5E" w:rsidRDefault="00D26D5E" w:rsidP="00431902">
      <w:pPr>
        <w:ind w:left="360" w:firstLine="0"/>
      </w:pPr>
    </w:p>
    <w:p w:rsidR="00D26D5E" w:rsidRDefault="00431902" w:rsidP="00D26D5E">
      <w:pPr>
        <w:numPr>
          <w:ilvl w:val="0"/>
          <w:numId w:val="1"/>
        </w:numPr>
      </w:pPr>
      <w:r>
        <w:t xml:space="preserve">The package of temporary measures </w:t>
      </w:r>
      <w:r w:rsidR="00D26D5E">
        <w:t>included:</w:t>
      </w:r>
    </w:p>
    <w:p w:rsidR="00D26D5E" w:rsidRDefault="00D26D5E" w:rsidP="00431902">
      <w:pPr>
        <w:ind w:left="360" w:firstLine="0"/>
      </w:pPr>
    </w:p>
    <w:p w:rsidR="00431902" w:rsidRDefault="00431902" w:rsidP="00431902">
      <w:pPr>
        <w:numPr>
          <w:ilvl w:val="1"/>
          <w:numId w:val="1"/>
        </w:numPr>
      </w:pPr>
      <w:r>
        <w:t>E</w:t>
      </w:r>
      <w:r w:rsidR="00D26D5E">
        <w:t>xten</w:t>
      </w:r>
      <w:r>
        <w:t xml:space="preserve">ding </w:t>
      </w:r>
      <w:r w:rsidR="00D26D5E">
        <w:t>time to comply with statutory demands and bankruptcy notices to 6 months, rather than 21 days:</w:t>
      </w:r>
    </w:p>
    <w:p w:rsidR="00D26D5E" w:rsidRDefault="00431902" w:rsidP="00431902">
      <w:pPr>
        <w:numPr>
          <w:ilvl w:val="2"/>
          <w:numId w:val="1"/>
        </w:numPr>
      </w:pPr>
      <w:r>
        <w:t>This measure e</w:t>
      </w:r>
      <w:r w:rsidR="00D26D5E">
        <w:t>ffectively prevents winding up or bankruptcy based on a presumption of insolvency</w:t>
      </w:r>
    </w:p>
    <w:p w:rsidR="00431902" w:rsidRDefault="00431902" w:rsidP="00431902">
      <w:pPr>
        <w:numPr>
          <w:ilvl w:val="1"/>
          <w:numId w:val="1"/>
        </w:numPr>
      </w:pPr>
      <w:r>
        <w:t>R</w:t>
      </w:r>
      <w:r w:rsidR="00D26D5E">
        <w:t xml:space="preserve">elief </w:t>
      </w:r>
      <w:r>
        <w:t xml:space="preserve">for directors </w:t>
      </w:r>
      <w:r w:rsidR="00D26D5E">
        <w:t>from civil liability for insolvent trading</w:t>
      </w:r>
      <w:r>
        <w:t>;</w:t>
      </w:r>
    </w:p>
    <w:p w:rsidR="00431902" w:rsidRDefault="00E6129A" w:rsidP="00431902">
      <w:pPr>
        <w:numPr>
          <w:ilvl w:val="1"/>
          <w:numId w:val="1"/>
        </w:numPr>
      </w:pPr>
      <w:r>
        <w:t>I</w:t>
      </w:r>
      <w:r w:rsidR="00431902">
        <w:t xml:space="preserve">ncreases </w:t>
      </w:r>
      <w:r w:rsidR="00D26D5E">
        <w:t>in</w:t>
      </w:r>
      <w:r w:rsidR="00431902">
        <w:t xml:space="preserve"> the </w:t>
      </w:r>
      <w:r w:rsidR="00D26D5E">
        <w:t>thresholds for debt</w:t>
      </w:r>
      <w:r w:rsidR="00431902">
        <w:t>s that can found:</w:t>
      </w:r>
    </w:p>
    <w:p w:rsidR="00431902" w:rsidRDefault="00431902" w:rsidP="00431902">
      <w:pPr>
        <w:numPr>
          <w:ilvl w:val="2"/>
          <w:numId w:val="1"/>
        </w:numPr>
      </w:pPr>
      <w:r>
        <w:t>a statutory demand</w:t>
      </w:r>
      <w:r w:rsidR="00D26D5E">
        <w:t xml:space="preserve"> from $2</w:t>
      </w:r>
      <w:r>
        <w:t>,000</w:t>
      </w:r>
      <w:r w:rsidR="00D26D5E">
        <w:t xml:space="preserve"> to $20</w:t>
      </w:r>
      <w:r>
        <w:t>,000;</w:t>
      </w:r>
    </w:p>
    <w:p w:rsidR="00D26D5E" w:rsidRDefault="00442021" w:rsidP="00431902">
      <w:pPr>
        <w:numPr>
          <w:ilvl w:val="2"/>
          <w:numId w:val="1"/>
        </w:numPr>
      </w:pPr>
      <w:r>
        <w:t xml:space="preserve">a bankruptcy notice from </w:t>
      </w:r>
      <w:r w:rsidR="00D26D5E">
        <w:t>$5</w:t>
      </w:r>
      <w:r>
        <w:t>,000</w:t>
      </w:r>
      <w:r w:rsidR="00D26D5E">
        <w:t xml:space="preserve"> to $20</w:t>
      </w:r>
      <w:r>
        <w:t>,000.</w:t>
      </w:r>
    </w:p>
    <w:p w:rsidR="00442021" w:rsidRDefault="00442021" w:rsidP="00442021">
      <w:pPr>
        <w:ind w:left="360" w:firstLine="0"/>
      </w:pPr>
    </w:p>
    <w:p w:rsidR="00D26D5E" w:rsidRDefault="00442021" w:rsidP="00D26D5E">
      <w:pPr>
        <w:numPr>
          <w:ilvl w:val="0"/>
          <w:numId w:val="1"/>
        </w:numPr>
      </w:pPr>
      <w:r>
        <w:t xml:space="preserve">These temporary measures are all due to expire to 25 September 2020.  Given the government’s current views on phasing out of </w:t>
      </w:r>
      <w:proofErr w:type="spellStart"/>
      <w:r>
        <w:t>Covid</w:t>
      </w:r>
      <w:proofErr w:type="spellEnd"/>
      <w:r>
        <w:t xml:space="preserve"> temporary measures ASAP, they are unlikely to be extended.  </w:t>
      </w:r>
    </w:p>
    <w:p w:rsidR="00442021" w:rsidRDefault="00442021" w:rsidP="00442021">
      <w:pPr>
        <w:ind w:left="360" w:firstLine="0"/>
      </w:pPr>
    </w:p>
    <w:p w:rsidR="00FD748D" w:rsidRDefault="00FD748D" w:rsidP="00F67A47">
      <w:pPr>
        <w:numPr>
          <w:ilvl w:val="0"/>
          <w:numId w:val="1"/>
        </w:numPr>
      </w:pPr>
      <w:r w:rsidRPr="00FD748D">
        <w:t>There are further range of measures that will wind down at about the same time</w:t>
      </w:r>
      <w:r>
        <w:t>.</w:t>
      </w:r>
      <w:r w:rsidRPr="00FD748D">
        <w:t xml:space="preserve"> </w:t>
      </w:r>
      <w:r>
        <w:t xml:space="preserve">  T</w:t>
      </w:r>
      <w:r w:rsidRPr="00FD748D">
        <w:t>hese include the following</w:t>
      </w:r>
      <w:r>
        <w:t>:</w:t>
      </w:r>
    </w:p>
    <w:p w:rsidR="00E6129A" w:rsidRDefault="00FD748D" w:rsidP="00554B1C">
      <w:pPr>
        <w:numPr>
          <w:ilvl w:val="1"/>
          <w:numId w:val="1"/>
        </w:numPr>
      </w:pPr>
      <w:r w:rsidRPr="00FD748D">
        <w:t xml:space="preserve">the major banks have been the </w:t>
      </w:r>
      <w:r>
        <w:t>de</w:t>
      </w:r>
      <w:r w:rsidRPr="00FD748D">
        <w:t>l</w:t>
      </w:r>
      <w:r>
        <w:t>a</w:t>
      </w:r>
      <w:r w:rsidRPr="00FD748D">
        <w:t>ying recoveries an</w:t>
      </w:r>
      <w:r>
        <w:t>d</w:t>
      </w:r>
      <w:r w:rsidRPr="00FD748D">
        <w:t xml:space="preserve"> appointments </w:t>
      </w:r>
      <w:r>
        <w:t xml:space="preserve">during </w:t>
      </w:r>
      <w:r w:rsidRPr="00FD748D">
        <w:t xml:space="preserve">the </w:t>
      </w:r>
      <w:proofErr w:type="spellStart"/>
      <w:r>
        <w:t>C</w:t>
      </w:r>
      <w:r w:rsidRPr="00FD748D">
        <w:t>ovid</w:t>
      </w:r>
      <w:proofErr w:type="spellEnd"/>
      <w:r>
        <w:t xml:space="preserve"> period where possible.  Inevitably, banks will tighten their credit management;</w:t>
      </w:r>
    </w:p>
    <w:p w:rsidR="00FD748D" w:rsidRDefault="00FD748D" w:rsidP="00554B1C">
      <w:pPr>
        <w:numPr>
          <w:ilvl w:val="1"/>
          <w:numId w:val="1"/>
        </w:numPr>
      </w:pPr>
      <w:r>
        <w:t>bank</w:t>
      </w:r>
      <w:r w:rsidRPr="00FD748D">
        <w:t xml:space="preserve"> </w:t>
      </w:r>
      <w:r>
        <w:t>l</w:t>
      </w:r>
      <w:r w:rsidRPr="00FD748D">
        <w:t xml:space="preserve">oan repayment </w:t>
      </w:r>
      <w:r>
        <w:t>h</w:t>
      </w:r>
      <w:r w:rsidRPr="00FD748D">
        <w:t>olidays</w:t>
      </w:r>
      <w:r>
        <w:t xml:space="preserve">; </w:t>
      </w:r>
    </w:p>
    <w:p w:rsidR="00FD748D" w:rsidRDefault="00FD748D" w:rsidP="00554B1C">
      <w:pPr>
        <w:numPr>
          <w:ilvl w:val="1"/>
          <w:numId w:val="1"/>
        </w:numPr>
      </w:pPr>
      <w:proofErr w:type="spellStart"/>
      <w:r>
        <w:t>Jobkeeper</w:t>
      </w:r>
      <w:proofErr w:type="spellEnd"/>
      <w:r>
        <w:t xml:space="preserve"> support;</w:t>
      </w:r>
    </w:p>
    <w:p w:rsidR="001B5EBC" w:rsidRDefault="00FD748D" w:rsidP="00554B1C">
      <w:pPr>
        <w:numPr>
          <w:ilvl w:val="1"/>
          <w:numId w:val="1"/>
        </w:numPr>
      </w:pPr>
      <w:r>
        <w:t>Commercial and residential rent relief</w:t>
      </w:r>
      <w:r w:rsidR="001B5EBC">
        <w:t>;</w:t>
      </w:r>
    </w:p>
    <w:p w:rsidR="00FD748D" w:rsidRDefault="001B5EBC" w:rsidP="00FD748D">
      <w:pPr>
        <w:numPr>
          <w:ilvl w:val="1"/>
          <w:numId w:val="1"/>
        </w:numPr>
      </w:pPr>
      <w:r>
        <w:t>State government tax relief</w:t>
      </w:r>
      <w:r w:rsidR="00FD748D">
        <w:t>.</w:t>
      </w:r>
    </w:p>
    <w:p w:rsidR="00FD748D" w:rsidRDefault="00FD748D" w:rsidP="00FD748D">
      <w:pPr>
        <w:pStyle w:val="ListParagraph"/>
      </w:pPr>
    </w:p>
    <w:p w:rsidR="00FD748D" w:rsidRDefault="00FD748D" w:rsidP="00FD748D">
      <w:pPr>
        <w:numPr>
          <w:ilvl w:val="0"/>
          <w:numId w:val="1"/>
        </w:numPr>
      </w:pPr>
      <w:r w:rsidRPr="00FD748D">
        <w:t>It</w:t>
      </w:r>
      <w:r w:rsidR="001B5EBC">
        <w:t xml:space="preserve"> is</w:t>
      </w:r>
      <w:r w:rsidRPr="00FD748D">
        <w:t xml:space="preserve"> the economic policy of the </w:t>
      </w:r>
      <w:r>
        <w:t xml:space="preserve">national </w:t>
      </w:r>
      <w:r w:rsidRPr="00FD748D">
        <w:t xml:space="preserve">government to allow the economy to transition </w:t>
      </w:r>
      <w:r w:rsidR="001B5EBC">
        <w:t xml:space="preserve">off support measures and to permit restructuring to occur by market forces.  </w:t>
      </w:r>
      <w:r w:rsidRPr="00FD748D">
        <w:t xml:space="preserve"> </w:t>
      </w:r>
      <w:r w:rsidR="001B5EBC">
        <w:t xml:space="preserve">This policy </w:t>
      </w:r>
      <w:r w:rsidRPr="00FD748D">
        <w:t>will require businesses that cannot cope to f</w:t>
      </w:r>
      <w:r w:rsidR="001B5EBC">
        <w:t xml:space="preserve">ail.  </w:t>
      </w:r>
      <w:r w:rsidRPr="00FD748D">
        <w:t>In other words</w:t>
      </w:r>
      <w:r w:rsidR="001B5EBC">
        <w:t>,</w:t>
      </w:r>
      <w:r w:rsidRPr="00FD748D">
        <w:t xml:space="preserve"> it will be government policy </w:t>
      </w:r>
      <w:r w:rsidR="001B5EBC">
        <w:t xml:space="preserve">to </w:t>
      </w:r>
      <w:r w:rsidRPr="00FD748D">
        <w:t xml:space="preserve"> </w:t>
      </w:r>
      <w:r w:rsidR="001B5EBC">
        <w:t xml:space="preserve">encourage </w:t>
      </w:r>
      <w:r w:rsidRPr="00FD748D">
        <w:t>a surge in insolvencies for the purpose of reconstructing the economy</w:t>
      </w:r>
      <w:r>
        <w:t>.</w:t>
      </w:r>
      <w:r w:rsidR="001B5EBC">
        <w:t xml:space="preserve">  Think Virgin, but many times over.</w:t>
      </w:r>
    </w:p>
    <w:p w:rsidR="00D26D5E" w:rsidRDefault="00D26D5E" w:rsidP="001B5EBC">
      <w:pPr>
        <w:ind w:left="0" w:firstLine="0"/>
      </w:pPr>
    </w:p>
    <w:p w:rsidR="00D26D5E" w:rsidRDefault="001B5EBC" w:rsidP="00D26D5E">
      <w:pPr>
        <w:numPr>
          <w:ilvl w:val="0"/>
          <w:numId w:val="1"/>
        </w:numPr>
      </w:pPr>
      <w:r>
        <w:t xml:space="preserve">We can </w:t>
      </w:r>
      <w:r w:rsidR="00D26D5E">
        <w:t xml:space="preserve">expect as these support mechanisms fall away or </w:t>
      </w:r>
      <w:r>
        <w:t xml:space="preserve">are </w:t>
      </w:r>
      <w:r w:rsidR="00D26D5E">
        <w:t>wound back, that many companies and individual business will fail.</w:t>
      </w:r>
    </w:p>
    <w:p w:rsidR="00D26D5E" w:rsidRDefault="00D26D5E" w:rsidP="001B5EBC">
      <w:pPr>
        <w:ind w:left="360" w:firstLine="0"/>
      </w:pPr>
    </w:p>
    <w:p w:rsidR="00D26D5E" w:rsidRDefault="00D26D5E" w:rsidP="00D26D5E">
      <w:pPr>
        <w:numPr>
          <w:ilvl w:val="0"/>
          <w:numId w:val="1"/>
        </w:numPr>
      </w:pPr>
      <w:r>
        <w:t xml:space="preserve">Against this context that need to be aware of PPSA issues:  </w:t>
      </w:r>
      <w:r w:rsidR="00665398">
        <w:t xml:space="preserve">they </w:t>
      </w:r>
      <w:r>
        <w:t>are especially important when debtors are insolvent, and insolvencies will be on the rise.</w:t>
      </w:r>
    </w:p>
    <w:p w:rsidR="002870BD" w:rsidRDefault="002870BD" w:rsidP="00F67A47">
      <w:pPr>
        <w:pStyle w:val="Heading2"/>
        <w:ind w:left="0" w:firstLine="0"/>
      </w:pPr>
    </w:p>
    <w:p w:rsidR="001B5EBC" w:rsidRPr="00665398" w:rsidRDefault="00665398" w:rsidP="00665398">
      <w:pPr>
        <w:pStyle w:val="Heading2"/>
        <w:ind w:left="426" w:hanging="427"/>
        <w:rPr>
          <w:b/>
          <w:bCs/>
          <w:i w:val="0"/>
          <w:iCs/>
        </w:rPr>
      </w:pPr>
      <w:r w:rsidRPr="00665398">
        <w:rPr>
          <w:b/>
          <w:bCs/>
          <w:i w:val="0"/>
          <w:iCs/>
        </w:rPr>
        <w:t>C.</w:t>
      </w:r>
      <w:r w:rsidRPr="00665398">
        <w:rPr>
          <w:b/>
          <w:bCs/>
          <w:i w:val="0"/>
          <w:iCs/>
        </w:rPr>
        <w:tab/>
      </w:r>
      <w:r w:rsidR="00CA0B29" w:rsidRPr="00665398">
        <w:rPr>
          <w:b/>
          <w:bCs/>
          <w:i w:val="0"/>
          <w:iCs/>
        </w:rPr>
        <w:t>What is a</w:t>
      </w:r>
      <w:r w:rsidR="001B5EBC" w:rsidRPr="00665398">
        <w:rPr>
          <w:b/>
          <w:bCs/>
          <w:i w:val="0"/>
          <w:iCs/>
        </w:rPr>
        <w:t xml:space="preserve"> security interest</w:t>
      </w:r>
      <w:r>
        <w:rPr>
          <w:b/>
          <w:bCs/>
          <w:i w:val="0"/>
          <w:iCs/>
        </w:rPr>
        <w:t>?</w:t>
      </w:r>
      <w:r w:rsidR="001B5EBC" w:rsidRPr="00665398">
        <w:rPr>
          <w:b/>
          <w:bCs/>
          <w:i w:val="0"/>
          <w:iCs/>
        </w:rPr>
        <w:t xml:space="preserve"> </w:t>
      </w:r>
    </w:p>
    <w:p w:rsidR="001B5EBC" w:rsidRDefault="001B5EBC" w:rsidP="001B5EBC">
      <w:pPr>
        <w:spacing w:after="20" w:line="259" w:lineRule="auto"/>
        <w:ind w:left="0" w:firstLine="0"/>
      </w:pPr>
      <w:r>
        <w:rPr>
          <w:i/>
        </w:rPr>
        <w:t xml:space="preserve"> </w:t>
      </w:r>
    </w:p>
    <w:p w:rsidR="001B5EBC" w:rsidRDefault="001B5EBC" w:rsidP="00CA0B29">
      <w:pPr>
        <w:numPr>
          <w:ilvl w:val="0"/>
          <w:numId w:val="1"/>
        </w:numPr>
        <w:ind w:hanging="360"/>
      </w:pPr>
      <w:r>
        <w:t xml:space="preserve">The PPSA defines a security interest in section 12(1) which states: </w:t>
      </w:r>
    </w:p>
    <w:p w:rsidR="001B5EBC" w:rsidRDefault="001B5EBC" w:rsidP="001B5EBC">
      <w:pPr>
        <w:spacing w:after="21" w:line="259" w:lineRule="auto"/>
        <w:ind w:left="360" w:firstLine="0"/>
      </w:pPr>
      <w:r>
        <w:t xml:space="preserve"> </w:t>
      </w:r>
    </w:p>
    <w:p w:rsidR="001B5EBC" w:rsidRDefault="001B5EBC" w:rsidP="001B5EBC">
      <w:pPr>
        <w:ind w:left="720" w:firstLine="0"/>
      </w:pPr>
      <w:r>
        <w:rPr>
          <w:b/>
          <w:i/>
        </w:rPr>
        <w:lastRenderedPageBreak/>
        <w:t xml:space="preserve">A security interest </w:t>
      </w:r>
      <w:r>
        <w:t xml:space="preserve">means an interest in personal property provided for by a transaction that, in substance, secures payment or performance of an obligation (without regard to the form of the transaction or the identity of the person who has title to the property). </w:t>
      </w:r>
    </w:p>
    <w:p w:rsidR="001B5EBC" w:rsidRDefault="001B5EBC" w:rsidP="001B5EBC">
      <w:pPr>
        <w:spacing w:after="16" w:line="259" w:lineRule="auto"/>
        <w:ind w:left="360" w:firstLine="0"/>
      </w:pPr>
      <w:r>
        <w:t xml:space="preserve"> </w:t>
      </w:r>
    </w:p>
    <w:p w:rsidR="001B5EBC" w:rsidRDefault="001B5EBC" w:rsidP="001B5EBC">
      <w:pPr>
        <w:ind w:left="360" w:firstLine="0"/>
      </w:pPr>
      <w:r>
        <w:t xml:space="preserve">Personal property is any property other than land. </w:t>
      </w:r>
    </w:p>
    <w:p w:rsidR="007C3B2A" w:rsidRDefault="001B5EBC" w:rsidP="007C3B2A">
      <w:pPr>
        <w:spacing w:after="20" w:line="259" w:lineRule="auto"/>
        <w:ind w:left="0" w:firstLine="0"/>
      </w:pPr>
      <w:r>
        <w:t xml:space="preserve"> </w:t>
      </w:r>
    </w:p>
    <w:p w:rsidR="007C3B2A" w:rsidRDefault="007C3B2A" w:rsidP="00CA0B29">
      <w:pPr>
        <w:numPr>
          <w:ilvl w:val="0"/>
          <w:numId w:val="1"/>
        </w:numPr>
      </w:pPr>
      <w:r>
        <w:t>Note bracketed words:</w:t>
      </w:r>
    </w:p>
    <w:p w:rsidR="007C3B2A" w:rsidRDefault="007C3B2A" w:rsidP="007C3B2A">
      <w:pPr>
        <w:ind w:left="360" w:firstLine="0"/>
      </w:pPr>
    </w:p>
    <w:p w:rsidR="007C3B2A" w:rsidRPr="007C3B2A" w:rsidRDefault="007C3B2A" w:rsidP="007C3B2A">
      <w:pPr>
        <w:ind w:left="720" w:firstLine="0"/>
        <w:rPr>
          <w:i/>
          <w:iCs/>
        </w:rPr>
      </w:pPr>
      <w:r w:rsidRPr="007C3B2A">
        <w:rPr>
          <w:i/>
          <w:iCs/>
        </w:rPr>
        <w:t>“without regard to the form of the transaction or the identity of the person who has title to the property”</w:t>
      </w:r>
    </w:p>
    <w:p w:rsidR="007C3B2A" w:rsidRDefault="007C3B2A" w:rsidP="007C3B2A">
      <w:pPr>
        <w:ind w:left="720" w:firstLine="0"/>
      </w:pPr>
    </w:p>
    <w:p w:rsidR="00C41472" w:rsidRDefault="007C3B2A" w:rsidP="00CA0B29">
      <w:pPr>
        <w:numPr>
          <w:ilvl w:val="0"/>
          <w:numId w:val="1"/>
        </w:numPr>
      </w:pPr>
      <w:r>
        <w:t xml:space="preserve">The concept is deliberately broad:  it is designed to catches arrangements that, in substance, provide security even though they do not, by traditional legal analysis, amount to a security at law.   </w:t>
      </w:r>
    </w:p>
    <w:p w:rsidR="00F67A47" w:rsidRDefault="00F67A47" w:rsidP="00F67A47"/>
    <w:p w:rsidR="00F67A47" w:rsidRDefault="00F67A47" w:rsidP="00F67A47">
      <w:pPr>
        <w:numPr>
          <w:ilvl w:val="0"/>
          <w:numId w:val="1"/>
        </w:numPr>
      </w:pPr>
      <w:r>
        <w:t>So all that is required is:</w:t>
      </w:r>
    </w:p>
    <w:p w:rsidR="00F67A47" w:rsidRDefault="00F67A47" w:rsidP="00F67A47">
      <w:pPr>
        <w:numPr>
          <w:ilvl w:val="1"/>
          <w:numId w:val="1"/>
        </w:numPr>
      </w:pPr>
      <w:r>
        <w:t>a consensual arrangement (</w:t>
      </w:r>
      <w:proofErr w:type="spellStart"/>
      <w:r>
        <w:t>ie</w:t>
      </w:r>
      <w:proofErr w:type="spellEnd"/>
      <w:r>
        <w:t xml:space="preserve"> a transaction)</w:t>
      </w:r>
    </w:p>
    <w:p w:rsidR="00F67A47" w:rsidRDefault="00F67A47" w:rsidP="00F67A47">
      <w:pPr>
        <w:numPr>
          <w:ilvl w:val="1"/>
          <w:numId w:val="1"/>
        </w:numPr>
      </w:pPr>
      <w:r>
        <w:t>which gives rise to an interest in personal property</w:t>
      </w:r>
    </w:p>
    <w:p w:rsidR="00F67A47" w:rsidRDefault="00F67A47" w:rsidP="00F67A47">
      <w:pPr>
        <w:numPr>
          <w:ilvl w:val="1"/>
          <w:numId w:val="1"/>
        </w:numPr>
      </w:pPr>
      <w:r>
        <w:t>which secures payment or performance of some other obligation.</w:t>
      </w:r>
    </w:p>
    <w:p w:rsidR="00C41472" w:rsidRDefault="00C41472" w:rsidP="00F67A47">
      <w:pPr>
        <w:ind w:left="0" w:firstLine="0"/>
      </w:pPr>
    </w:p>
    <w:p w:rsidR="007C3B2A" w:rsidRDefault="007C3B2A" w:rsidP="00CA0B29">
      <w:pPr>
        <w:numPr>
          <w:ilvl w:val="0"/>
          <w:numId w:val="1"/>
        </w:numPr>
      </w:pPr>
      <w:r>
        <w:t xml:space="preserve">A weakness of pre PPSA law was that </w:t>
      </w:r>
      <w:r w:rsidR="00C41472">
        <w:t>securities were regulated differently depending on their legal form.   T</w:t>
      </w:r>
      <w:r>
        <w:t>here was great uncertainty and complexity in determining which security interests were subject of various statutory and common laws affecting personal property.</w:t>
      </w:r>
      <w:r w:rsidR="00C41472">
        <w:t xml:space="preserve">  Front end lawyers spent a great deal of time devising methods of avoiding regulation by expanding securities that were unregulated:  for example, retention of title, consignment arrangements and finance leasing.</w:t>
      </w:r>
    </w:p>
    <w:p w:rsidR="001B5EBC" w:rsidRDefault="001B5EBC" w:rsidP="001B5EBC">
      <w:pPr>
        <w:spacing w:after="20" w:line="259" w:lineRule="auto"/>
        <w:ind w:left="360" w:firstLine="0"/>
      </w:pPr>
      <w:r>
        <w:t xml:space="preserve"> </w:t>
      </w:r>
    </w:p>
    <w:p w:rsidR="001B5EBC" w:rsidRDefault="007C3B2A" w:rsidP="00CA0B29">
      <w:pPr>
        <w:numPr>
          <w:ilvl w:val="0"/>
          <w:numId w:val="1"/>
        </w:numPr>
        <w:ind w:hanging="360"/>
      </w:pPr>
      <w:r>
        <w:t xml:space="preserve">Section 12(2) contains an extensive list of example transactions that are within the definition. </w:t>
      </w:r>
      <w:r w:rsidR="00C41472">
        <w:t xml:space="preserve">  This list </w:t>
      </w:r>
      <w:r>
        <w:t xml:space="preserve"> </w:t>
      </w:r>
      <w:r w:rsidR="001B5EBC">
        <w:t xml:space="preserve">covers most of traditional security transactions, such as legal and equitable mortgages, fixed and floating charges and assignments.  However, it also extends to transactions which, at common law, were not regarded as constituting a charge over personal property: </w:t>
      </w:r>
    </w:p>
    <w:p w:rsidR="001B5EBC" w:rsidRDefault="001B5EBC" w:rsidP="001B5EBC">
      <w:pPr>
        <w:spacing w:after="17" w:line="259" w:lineRule="auto"/>
        <w:ind w:left="0" w:firstLine="0"/>
      </w:pPr>
      <w:r>
        <w:t xml:space="preserve"> </w:t>
      </w:r>
    </w:p>
    <w:p w:rsidR="001B5EBC" w:rsidRDefault="001B5EBC" w:rsidP="001B5EBC">
      <w:pPr>
        <w:numPr>
          <w:ilvl w:val="1"/>
          <w:numId w:val="2"/>
        </w:numPr>
        <w:ind w:hanging="360"/>
      </w:pPr>
      <w:r>
        <w:t>retention of title clauses (</w:t>
      </w:r>
      <w:proofErr w:type="spellStart"/>
      <w:r>
        <w:t>Romalpa</w:t>
      </w:r>
      <w:proofErr w:type="spellEnd"/>
      <w:r>
        <w:t xml:space="preserve"> Clause); </w:t>
      </w:r>
    </w:p>
    <w:p w:rsidR="001B5EBC" w:rsidRDefault="001B5EBC" w:rsidP="001B5EBC">
      <w:pPr>
        <w:numPr>
          <w:ilvl w:val="1"/>
          <w:numId w:val="2"/>
        </w:numPr>
        <w:ind w:hanging="360"/>
      </w:pPr>
      <w:r>
        <w:t xml:space="preserve">hire purchase agreements; </w:t>
      </w:r>
    </w:p>
    <w:p w:rsidR="001B5EBC" w:rsidRDefault="001B5EBC" w:rsidP="001B5EBC">
      <w:pPr>
        <w:numPr>
          <w:ilvl w:val="1"/>
          <w:numId w:val="2"/>
        </w:numPr>
        <w:ind w:hanging="360"/>
      </w:pPr>
      <w:r>
        <w:t xml:space="preserve">conditional sale agreements; </w:t>
      </w:r>
    </w:p>
    <w:p w:rsidR="001B5EBC" w:rsidRDefault="001B5EBC" w:rsidP="001B5EBC">
      <w:pPr>
        <w:numPr>
          <w:ilvl w:val="1"/>
          <w:numId w:val="2"/>
        </w:numPr>
        <w:ind w:hanging="360"/>
      </w:pPr>
      <w:r>
        <w:t xml:space="preserve">leases (whether or not </w:t>
      </w:r>
      <w:r>
        <w:rPr>
          <w:color w:val="000000"/>
        </w:rPr>
        <w:t xml:space="preserve">PPS leases); </w:t>
      </w:r>
      <w:r>
        <w:t xml:space="preserve">and </w:t>
      </w:r>
    </w:p>
    <w:p w:rsidR="001B5EBC" w:rsidRDefault="001B5EBC" w:rsidP="001B5EBC">
      <w:pPr>
        <w:numPr>
          <w:ilvl w:val="1"/>
          <w:numId w:val="2"/>
        </w:numPr>
        <w:ind w:hanging="360"/>
      </w:pPr>
      <w:r>
        <w:t xml:space="preserve">flawed asset arrangements. </w:t>
      </w:r>
    </w:p>
    <w:p w:rsidR="001B5EBC" w:rsidRDefault="001B5EBC" w:rsidP="001B5EBC">
      <w:pPr>
        <w:spacing w:after="20" w:line="259" w:lineRule="auto"/>
        <w:ind w:left="720" w:firstLine="0"/>
      </w:pPr>
      <w:r>
        <w:t xml:space="preserve"> </w:t>
      </w:r>
    </w:p>
    <w:p w:rsidR="001B5EBC" w:rsidRDefault="001B5EBC" w:rsidP="00CA0B29">
      <w:pPr>
        <w:numPr>
          <w:ilvl w:val="0"/>
          <w:numId w:val="1"/>
        </w:numPr>
        <w:ind w:hanging="360"/>
      </w:pPr>
      <w:r>
        <w:t xml:space="preserve">Further, section 12(3) of the PPSA states that particular interests are security interests whether or not the relevant transaction secures payment or performance of an obligation. These include: </w:t>
      </w:r>
    </w:p>
    <w:p w:rsidR="001B5EBC" w:rsidRDefault="001B5EBC" w:rsidP="001B5EBC">
      <w:pPr>
        <w:spacing w:after="22" w:line="259" w:lineRule="auto"/>
        <w:ind w:left="360" w:firstLine="0"/>
      </w:pPr>
      <w:r>
        <w:t xml:space="preserve"> </w:t>
      </w:r>
    </w:p>
    <w:p w:rsidR="001B5EBC" w:rsidRDefault="001B5EBC" w:rsidP="001B5EBC">
      <w:pPr>
        <w:numPr>
          <w:ilvl w:val="1"/>
          <w:numId w:val="2"/>
        </w:numPr>
        <w:ind w:hanging="360"/>
      </w:pPr>
      <w:r>
        <w:lastRenderedPageBreak/>
        <w:t xml:space="preserve">the interest of a factor in an account; </w:t>
      </w:r>
    </w:p>
    <w:p w:rsidR="001B5EBC" w:rsidRDefault="001B5EBC" w:rsidP="001B5EBC">
      <w:pPr>
        <w:numPr>
          <w:ilvl w:val="1"/>
          <w:numId w:val="2"/>
        </w:numPr>
        <w:ind w:hanging="360"/>
      </w:pPr>
      <w:r>
        <w:t xml:space="preserve">consignment arrangements; and </w:t>
      </w:r>
    </w:p>
    <w:p w:rsidR="007C3B2A" w:rsidRDefault="001B5EBC" w:rsidP="00C41472">
      <w:pPr>
        <w:numPr>
          <w:ilvl w:val="1"/>
          <w:numId w:val="2"/>
        </w:numPr>
        <w:ind w:hanging="360"/>
      </w:pPr>
      <w:r>
        <w:t xml:space="preserve">leases of personal property for a term exceeding 12 months (or three months for motor vehicles, boats or aircraft). </w:t>
      </w:r>
    </w:p>
    <w:p w:rsidR="007C3B2A" w:rsidRDefault="007C3B2A" w:rsidP="007C3B2A">
      <w:pPr>
        <w:ind w:left="360" w:firstLine="0"/>
      </w:pPr>
    </w:p>
    <w:p w:rsidR="00A21CFC" w:rsidRDefault="00C41472" w:rsidP="00A21CFC">
      <w:pPr>
        <w:numPr>
          <w:ilvl w:val="0"/>
          <w:numId w:val="1"/>
        </w:numPr>
      </w:pPr>
      <w:r>
        <w:t xml:space="preserve">The aim </w:t>
      </w:r>
      <w:r w:rsidR="007C3B2A">
        <w:t xml:space="preserve">of the PPSA is, in regulating security over personal property, to escape the classification of arrangements into legal forms and to loo instead to the substance </w:t>
      </w:r>
    </w:p>
    <w:p w:rsidR="001B5EBC" w:rsidRDefault="001B5EBC" w:rsidP="001B5EBC">
      <w:pPr>
        <w:spacing w:after="16" w:line="259" w:lineRule="auto"/>
        <w:ind w:left="0" w:firstLine="0"/>
      </w:pPr>
    </w:p>
    <w:p w:rsidR="001B5EBC" w:rsidRPr="00665398" w:rsidRDefault="00665398" w:rsidP="00665398">
      <w:pPr>
        <w:pStyle w:val="Heading2"/>
        <w:ind w:left="426" w:hanging="427"/>
        <w:rPr>
          <w:b/>
          <w:bCs/>
          <w:i w:val="0"/>
          <w:iCs/>
        </w:rPr>
      </w:pPr>
      <w:r w:rsidRPr="00665398">
        <w:rPr>
          <w:b/>
          <w:bCs/>
          <w:i w:val="0"/>
          <w:iCs/>
        </w:rPr>
        <w:t>D.</w:t>
      </w:r>
      <w:r w:rsidRPr="00665398">
        <w:rPr>
          <w:b/>
          <w:bCs/>
          <w:i w:val="0"/>
          <w:iCs/>
        </w:rPr>
        <w:tab/>
      </w:r>
      <w:r w:rsidR="00E6129A" w:rsidRPr="00665398">
        <w:rPr>
          <w:b/>
          <w:bCs/>
          <w:i w:val="0"/>
          <w:iCs/>
        </w:rPr>
        <w:t xml:space="preserve">Why </w:t>
      </w:r>
      <w:r w:rsidR="001B5EBC" w:rsidRPr="00665398">
        <w:rPr>
          <w:b/>
          <w:bCs/>
          <w:i w:val="0"/>
          <w:iCs/>
        </w:rPr>
        <w:t>Regist</w:t>
      </w:r>
      <w:r w:rsidR="00E6129A" w:rsidRPr="00665398">
        <w:rPr>
          <w:b/>
          <w:bCs/>
          <w:i w:val="0"/>
          <w:iCs/>
        </w:rPr>
        <w:t>er</w:t>
      </w:r>
      <w:r w:rsidRPr="00665398">
        <w:rPr>
          <w:b/>
          <w:bCs/>
          <w:i w:val="0"/>
          <w:iCs/>
        </w:rPr>
        <w:t>?</w:t>
      </w:r>
    </w:p>
    <w:p w:rsidR="00A21CFC" w:rsidRDefault="00A21CFC" w:rsidP="00A21CFC">
      <w:pPr>
        <w:ind w:left="0" w:firstLine="0"/>
      </w:pPr>
    </w:p>
    <w:p w:rsidR="00A21CFC" w:rsidRDefault="00A21CFC" w:rsidP="00A21CFC">
      <w:pPr>
        <w:numPr>
          <w:ilvl w:val="0"/>
          <w:numId w:val="1"/>
        </w:numPr>
      </w:pPr>
      <w:r>
        <w:t>There are three essential elements that must be in place to have valid security under the PPSA:</w:t>
      </w:r>
    </w:p>
    <w:p w:rsidR="00A21CFC" w:rsidRDefault="00A21CFC" w:rsidP="00A21CFC">
      <w:pPr>
        <w:numPr>
          <w:ilvl w:val="1"/>
          <w:numId w:val="1"/>
        </w:numPr>
      </w:pPr>
      <w:r>
        <w:t>a</w:t>
      </w:r>
      <w:r>
        <w:t xml:space="preserve"> security interest.  This will be created under a security agreement (contract), and will almost always be in writing;</w:t>
      </w:r>
    </w:p>
    <w:p w:rsidR="00A21CFC" w:rsidRDefault="00A21CFC" w:rsidP="00A21CFC">
      <w:pPr>
        <w:numPr>
          <w:ilvl w:val="1"/>
          <w:numId w:val="1"/>
        </w:numPr>
      </w:pPr>
      <w:r>
        <w:t>t</w:t>
      </w:r>
      <w:r>
        <w:t>he security interest ‘attaching’ to the property.  This occurs when the grantor of the interest has rights in the property and they do something that causes the security interest to arise under the security agreement; and</w:t>
      </w:r>
    </w:p>
    <w:p w:rsidR="00F67A47" w:rsidRDefault="00A21CFC" w:rsidP="00A21CFC">
      <w:pPr>
        <w:numPr>
          <w:ilvl w:val="1"/>
          <w:numId w:val="1"/>
        </w:numPr>
      </w:pPr>
      <w:r>
        <w:t>t</w:t>
      </w:r>
      <w:r>
        <w:t xml:space="preserve">he security interest ‘perfecting’ in the particular property.  </w:t>
      </w:r>
    </w:p>
    <w:p w:rsidR="00A21CFC" w:rsidRDefault="00A21CFC" w:rsidP="00A21CFC">
      <w:pPr>
        <w:ind w:left="792" w:firstLine="0"/>
      </w:pPr>
    </w:p>
    <w:p w:rsidR="00A21CFC" w:rsidRDefault="00A21CFC" w:rsidP="00CA0B29">
      <w:pPr>
        <w:numPr>
          <w:ilvl w:val="0"/>
          <w:numId w:val="1"/>
        </w:numPr>
      </w:pPr>
      <w:r>
        <w:t>The first two elements come from effective drafting of a security agreement and its application when giving credit.  Then agreement creates the security interest and specifies when it applies.</w:t>
      </w:r>
    </w:p>
    <w:p w:rsidR="00A21CFC" w:rsidRDefault="00A21CFC" w:rsidP="00A21CFC">
      <w:pPr>
        <w:ind w:left="360" w:firstLine="0"/>
      </w:pPr>
      <w:r>
        <w:t xml:space="preserve"> </w:t>
      </w:r>
    </w:p>
    <w:p w:rsidR="00A21CFC" w:rsidRDefault="00215545" w:rsidP="00CA0B29">
      <w:pPr>
        <w:numPr>
          <w:ilvl w:val="0"/>
          <w:numId w:val="1"/>
        </w:numPr>
      </w:pPr>
      <w:r>
        <w:t xml:space="preserve">The </w:t>
      </w:r>
      <w:r w:rsidR="00A21CFC">
        <w:t xml:space="preserve">third element is provided in most cases by registration. </w:t>
      </w:r>
    </w:p>
    <w:p w:rsidR="00A21CFC" w:rsidRDefault="00A21CFC" w:rsidP="00A21CFC">
      <w:pPr>
        <w:pStyle w:val="ListParagraph"/>
      </w:pPr>
    </w:p>
    <w:p w:rsidR="00A21CFC" w:rsidRPr="00A21CFC" w:rsidRDefault="00A21CFC" w:rsidP="00A21CFC">
      <w:pPr>
        <w:numPr>
          <w:ilvl w:val="0"/>
          <w:numId w:val="1"/>
        </w:numPr>
        <w:rPr>
          <w:b/>
          <w:bCs/>
        </w:rPr>
      </w:pPr>
      <w:r w:rsidRPr="00A21CFC">
        <w:rPr>
          <w:b/>
          <w:bCs/>
        </w:rPr>
        <w:t>You register to preserve your priority vis a vis other secured creditors, and to avoid vesting of your interest in the debtor on insolvency.  It is all about preservation of priority when there is not enough money to pay all debts.</w:t>
      </w:r>
    </w:p>
    <w:p w:rsidR="00A21CFC" w:rsidRDefault="00A21CFC" w:rsidP="00A21CFC">
      <w:pPr>
        <w:pStyle w:val="ListParagraph"/>
      </w:pPr>
    </w:p>
    <w:p w:rsidR="001B5EBC" w:rsidRDefault="00A21CFC" w:rsidP="00CA0B29">
      <w:pPr>
        <w:numPr>
          <w:ilvl w:val="0"/>
          <w:numId w:val="1"/>
        </w:numPr>
      </w:pPr>
      <w:r>
        <w:t xml:space="preserve">The </w:t>
      </w:r>
      <w:r w:rsidR="00215545">
        <w:t xml:space="preserve">PPSA creates a notice-based system, the purpose of which is to give third parties dealing with a debtor notice of any security interest held by a creditor in respect of that debtor’s personal property.   </w:t>
      </w:r>
    </w:p>
    <w:p w:rsidR="0086138D" w:rsidRDefault="0086138D" w:rsidP="0086138D">
      <w:pPr>
        <w:ind w:left="360" w:firstLine="0"/>
      </w:pPr>
      <w:r>
        <w:t xml:space="preserve"> </w:t>
      </w:r>
    </w:p>
    <w:p w:rsidR="00A34427" w:rsidRDefault="0086138D" w:rsidP="00554B1C">
      <w:pPr>
        <w:numPr>
          <w:ilvl w:val="0"/>
          <w:numId w:val="1"/>
        </w:numPr>
      </w:pPr>
      <w:r>
        <w:t xml:space="preserve">Broadly speaking, a holder of a security interest </w:t>
      </w:r>
      <w:r w:rsidR="00A34427">
        <w:t>w</w:t>
      </w:r>
      <w:r w:rsidRPr="0086138D">
        <w:t>ho fails to p</w:t>
      </w:r>
      <w:r w:rsidR="00A34427">
        <w:t xml:space="preserve">erfect the </w:t>
      </w:r>
      <w:r w:rsidRPr="0086138D">
        <w:t>interest is at risk of</w:t>
      </w:r>
      <w:r w:rsidR="00A34427">
        <w:t>:</w:t>
      </w:r>
    </w:p>
    <w:p w:rsidR="00A34427" w:rsidRDefault="0086138D" w:rsidP="00A34427">
      <w:pPr>
        <w:numPr>
          <w:ilvl w:val="0"/>
          <w:numId w:val="13"/>
        </w:numPr>
      </w:pPr>
      <w:r w:rsidRPr="0086138D">
        <w:t xml:space="preserve"> </w:t>
      </w:r>
      <w:r w:rsidR="00A34427">
        <w:t>l</w:t>
      </w:r>
      <w:r w:rsidR="00A34427" w:rsidRPr="00A34427">
        <w:t xml:space="preserve">osing priority to other security interest holders who do perfect their interest </w:t>
      </w:r>
      <w:r w:rsidR="00A34427">
        <w:t>in the same property; and</w:t>
      </w:r>
    </w:p>
    <w:p w:rsidR="0086138D" w:rsidRDefault="00A34427" w:rsidP="00A34427">
      <w:pPr>
        <w:numPr>
          <w:ilvl w:val="0"/>
          <w:numId w:val="13"/>
        </w:numPr>
      </w:pPr>
      <w:r w:rsidRPr="00A34427">
        <w:t>losing their security interest completely</w:t>
      </w:r>
      <w:r>
        <w:t>, if the debtor enters into insolvency, by vesting.</w:t>
      </w:r>
    </w:p>
    <w:p w:rsidR="00215545" w:rsidRDefault="00215545" w:rsidP="00215545">
      <w:pPr>
        <w:ind w:left="360" w:firstLine="0"/>
      </w:pPr>
      <w:r>
        <w:t xml:space="preserve"> </w:t>
      </w:r>
    </w:p>
    <w:p w:rsidR="00A34427" w:rsidRDefault="00215545" w:rsidP="00CA0B29">
      <w:pPr>
        <w:numPr>
          <w:ilvl w:val="0"/>
          <w:numId w:val="1"/>
        </w:numPr>
      </w:pPr>
      <w:r>
        <w:t>The PPSA requires any person holding a security interest to “perfect” it</w:t>
      </w:r>
      <w:r w:rsidR="0086138D">
        <w:t xml:space="preserve">.   Perfection is an American concept taken from US Bankruptcy Law – it means to reach the optimal or perfect level of protection under the system.  </w:t>
      </w:r>
      <w:r>
        <w:t xml:space="preserve"> </w:t>
      </w:r>
    </w:p>
    <w:p w:rsidR="00A34427" w:rsidRDefault="00A34427" w:rsidP="00A34427">
      <w:pPr>
        <w:ind w:left="360" w:firstLine="0"/>
      </w:pPr>
    </w:p>
    <w:p w:rsidR="00215545" w:rsidRDefault="00A34427" w:rsidP="00554B1C">
      <w:pPr>
        <w:numPr>
          <w:ilvl w:val="0"/>
          <w:numId w:val="1"/>
        </w:numPr>
      </w:pPr>
      <w:r>
        <w:lastRenderedPageBreak/>
        <w:t>Under</w:t>
      </w:r>
      <w:r w:rsidR="0086138D">
        <w:t xml:space="preserve"> the PPSA</w:t>
      </w:r>
      <w:r w:rsidR="00215545">
        <w:t xml:space="preserve"> essentially what this means is to bring the security interest to the attention of the public, in one way or another.  </w:t>
      </w:r>
      <w:r>
        <w:t>P</w:t>
      </w:r>
      <w:r w:rsidR="00215545">
        <w:t xml:space="preserve">erfection can be achieved in one of </w:t>
      </w:r>
      <w:r w:rsidR="00BC738A">
        <w:t xml:space="preserve">three </w:t>
      </w:r>
      <w:r w:rsidR="00215545">
        <w:t>ways</w:t>
      </w:r>
      <w:r w:rsidR="005602CD">
        <w:rPr>
          <w:rStyle w:val="FootnoteReference"/>
        </w:rPr>
        <w:footnoteReference w:id="1"/>
      </w:r>
      <w:r w:rsidR="00215545">
        <w:t>:</w:t>
      </w:r>
    </w:p>
    <w:p w:rsidR="00215545" w:rsidRDefault="005602CD" w:rsidP="00027164">
      <w:pPr>
        <w:numPr>
          <w:ilvl w:val="0"/>
          <w:numId w:val="14"/>
        </w:numPr>
      </w:pPr>
      <w:r>
        <w:t>r</w:t>
      </w:r>
      <w:r w:rsidR="00215545">
        <w:t>egistration on the PPSR:</w:t>
      </w:r>
    </w:p>
    <w:p w:rsidR="00215545" w:rsidRDefault="005602CD" w:rsidP="00027164">
      <w:pPr>
        <w:numPr>
          <w:ilvl w:val="0"/>
          <w:numId w:val="14"/>
        </w:numPr>
      </w:pPr>
      <w:r>
        <w:t>m</w:t>
      </w:r>
      <w:r w:rsidR="00215545">
        <w:t>aintaining possession of the secured property</w:t>
      </w:r>
      <w:r w:rsidR="00776559">
        <w:t xml:space="preserve"> for certain types of controllable property</w:t>
      </w:r>
      <w:r w:rsidR="00215545">
        <w:t>;</w:t>
      </w:r>
    </w:p>
    <w:p w:rsidR="00C95B83" w:rsidRDefault="005602CD" w:rsidP="00027164">
      <w:pPr>
        <w:numPr>
          <w:ilvl w:val="0"/>
          <w:numId w:val="14"/>
        </w:numPr>
      </w:pPr>
      <w:r>
        <w:t>m</w:t>
      </w:r>
      <w:r w:rsidR="00C95B83">
        <w:t xml:space="preserve">aintaining control of the property in </w:t>
      </w:r>
      <w:r w:rsidR="00A872BC">
        <w:t xml:space="preserve">special ways for certain </w:t>
      </w:r>
      <w:r w:rsidR="00776559">
        <w:t>financial accounts and for satellites</w:t>
      </w:r>
      <w:r w:rsidR="00BC738A">
        <w:t>.</w:t>
      </w:r>
    </w:p>
    <w:p w:rsidR="00A34427" w:rsidRDefault="00A34427" w:rsidP="00CA0B29">
      <w:pPr>
        <w:ind w:left="0" w:firstLine="0"/>
      </w:pPr>
    </w:p>
    <w:p w:rsidR="001B5EBC" w:rsidRDefault="001B5EBC" w:rsidP="00CA0B29">
      <w:pPr>
        <w:numPr>
          <w:ilvl w:val="0"/>
          <w:numId w:val="1"/>
        </w:numPr>
        <w:ind w:hanging="360"/>
      </w:pPr>
      <w:r>
        <w:t xml:space="preserve">It is very important to register a security interest in accordance with the requirements of the PPSA, particularly with regard to time limits and the form of application.  If a security interest is not validly registered within time limits set by the PPSA, the secured party may lose priority or may lose the interest completely.  While the Court has a discretion to order an extension of time for registration, the ability of the Court to grant extensions is limited and uncertain.  Practitioners should not assume that an extension of time will be available on application to the court. </w:t>
      </w:r>
    </w:p>
    <w:p w:rsidR="001B5EBC" w:rsidRDefault="001B5EBC" w:rsidP="00D86C44">
      <w:pPr>
        <w:ind w:left="360" w:firstLine="0"/>
      </w:pPr>
    </w:p>
    <w:p w:rsidR="001B5EBC" w:rsidRDefault="001B5EBC" w:rsidP="00CA0B29">
      <w:pPr>
        <w:numPr>
          <w:ilvl w:val="0"/>
          <w:numId w:val="1"/>
        </w:numPr>
        <w:ind w:hanging="360"/>
      </w:pPr>
      <w:r>
        <w:t xml:space="preserve">Section 588FL of the </w:t>
      </w:r>
      <w:r w:rsidRPr="00027164">
        <w:t>Corporations Act 2001</w:t>
      </w:r>
      <w:r>
        <w:t xml:space="preserve"> (</w:t>
      </w:r>
      <w:proofErr w:type="spellStart"/>
      <w:r>
        <w:t>Cth</w:t>
      </w:r>
      <w:proofErr w:type="spellEnd"/>
      <w:r>
        <w:t xml:space="preserve">) (Act) provides that a security interest granted by a company (which is perfected </w:t>
      </w:r>
      <w:r w:rsidRPr="00027164">
        <w:t>only</w:t>
      </w:r>
      <w:r>
        <w:t xml:space="preserve"> by registration) must be registered on the PPSR either within 20 business days after the security agreement giving rise to the security interest comes into force, or otherwise earlier than 6 months of the grantor entering liquidation or administration.   </w:t>
      </w:r>
    </w:p>
    <w:p w:rsidR="001B5EBC" w:rsidRDefault="001B5EBC" w:rsidP="00D86C44">
      <w:pPr>
        <w:ind w:left="360" w:firstLine="0"/>
      </w:pPr>
    </w:p>
    <w:p w:rsidR="001B5EBC" w:rsidRDefault="001B5EBC" w:rsidP="00CA0B29">
      <w:pPr>
        <w:numPr>
          <w:ilvl w:val="0"/>
          <w:numId w:val="1"/>
        </w:numPr>
        <w:ind w:hanging="360"/>
      </w:pPr>
      <w:r>
        <w:t xml:space="preserve">If registration does not occur within that time, the security interest will lose priority as against a perfected security interest and will be at risk of vesting in a liquidator or administrator of the company under section 267 of the Act, and so the interest holder losing the benefit of the security. </w:t>
      </w:r>
    </w:p>
    <w:p w:rsidR="001B5EBC" w:rsidRDefault="001B5EBC" w:rsidP="00D86C44">
      <w:pPr>
        <w:ind w:left="360" w:firstLine="0"/>
      </w:pPr>
    </w:p>
    <w:p w:rsidR="001B5EBC" w:rsidRDefault="001B5EBC" w:rsidP="00CA0B29">
      <w:pPr>
        <w:numPr>
          <w:ilvl w:val="0"/>
          <w:numId w:val="1"/>
        </w:numPr>
        <w:ind w:hanging="360"/>
      </w:pPr>
      <w:r>
        <w:t xml:space="preserve">Where an insolvency event has occurred, as long as the original registration was made on the PPSR prior to the insolvency event, an application for an extension of time is available.  Accordingly, a security interest holder may apply to the Court under section 588FM  in order to prevent the security interest from vesting by extending the timeframe for registration. </w:t>
      </w:r>
    </w:p>
    <w:p w:rsidR="001B5EBC" w:rsidRDefault="001B5EBC" w:rsidP="00027164">
      <w:pPr>
        <w:ind w:left="360" w:firstLine="0"/>
      </w:pPr>
    </w:p>
    <w:p w:rsidR="001B5EBC" w:rsidRDefault="001B5EBC" w:rsidP="00CA0B29">
      <w:pPr>
        <w:numPr>
          <w:ilvl w:val="0"/>
          <w:numId w:val="1"/>
        </w:numPr>
        <w:ind w:hanging="360"/>
      </w:pPr>
      <w:r>
        <w:t xml:space="preserve">Section 588FM of the Act affords the Court the power to grant an extension of time if the Court is satisfied that the failure to register the collateral earlier: </w:t>
      </w:r>
    </w:p>
    <w:p w:rsidR="00027164" w:rsidRDefault="001B5EBC" w:rsidP="00027164">
      <w:pPr>
        <w:numPr>
          <w:ilvl w:val="0"/>
          <w:numId w:val="15"/>
        </w:numPr>
      </w:pPr>
      <w:r>
        <w:t xml:space="preserve">was accidental or due to inadvertence; </w:t>
      </w:r>
    </w:p>
    <w:p w:rsidR="00027164" w:rsidRDefault="001B5EBC" w:rsidP="00027164">
      <w:pPr>
        <w:numPr>
          <w:ilvl w:val="0"/>
          <w:numId w:val="15"/>
        </w:numPr>
      </w:pPr>
      <w:r>
        <w:t xml:space="preserve">is not of such a nature as to prejudice creditors; or </w:t>
      </w:r>
    </w:p>
    <w:p w:rsidR="001B5EBC" w:rsidRDefault="001B5EBC" w:rsidP="00027164">
      <w:pPr>
        <w:numPr>
          <w:ilvl w:val="0"/>
          <w:numId w:val="15"/>
        </w:numPr>
      </w:pPr>
      <w:r>
        <w:lastRenderedPageBreak/>
        <w:t xml:space="preserve">is otherwise just and equitable to do so. </w:t>
      </w:r>
    </w:p>
    <w:p w:rsidR="00D86C44" w:rsidRDefault="00D86C44" w:rsidP="00D86C44"/>
    <w:p w:rsidR="002870BD" w:rsidRPr="00665398" w:rsidRDefault="00665398" w:rsidP="00CA0B29">
      <w:pPr>
        <w:rPr>
          <w:b/>
          <w:bCs/>
        </w:rPr>
      </w:pPr>
      <w:r w:rsidRPr="00665398">
        <w:rPr>
          <w:b/>
          <w:bCs/>
        </w:rPr>
        <w:t>E.</w:t>
      </w:r>
      <w:r w:rsidRPr="00665398">
        <w:rPr>
          <w:b/>
          <w:bCs/>
        </w:rPr>
        <w:tab/>
      </w:r>
      <w:r w:rsidR="00D86C44" w:rsidRPr="00665398">
        <w:rPr>
          <w:b/>
          <w:bCs/>
        </w:rPr>
        <w:t>How do you Register?</w:t>
      </w:r>
    </w:p>
    <w:p w:rsidR="002870BD" w:rsidRDefault="002870BD" w:rsidP="002870BD">
      <w:pPr>
        <w:ind w:left="360" w:firstLine="0"/>
      </w:pPr>
    </w:p>
    <w:p w:rsidR="008D1B75" w:rsidRDefault="008D1B75" w:rsidP="00CA0B29">
      <w:pPr>
        <w:numPr>
          <w:ilvl w:val="0"/>
          <w:numId w:val="1"/>
        </w:numPr>
      </w:pPr>
      <w:r w:rsidRPr="008D1B75">
        <w:t xml:space="preserve">The PPSR itself is </w:t>
      </w:r>
      <w:r>
        <w:t>simple and inexpensive</w:t>
      </w:r>
      <w:r w:rsidRPr="008D1B75">
        <w:t xml:space="preserve">.  </w:t>
      </w:r>
      <w:r>
        <w:t xml:space="preserve">Registration occurs online.  </w:t>
      </w:r>
    </w:p>
    <w:p w:rsidR="008D1B75" w:rsidRDefault="008D1B75" w:rsidP="008D1B75"/>
    <w:p w:rsidR="008D1B75" w:rsidRDefault="008D1B75" w:rsidP="00CA0B29">
      <w:pPr>
        <w:numPr>
          <w:ilvl w:val="0"/>
          <w:numId w:val="1"/>
        </w:numPr>
      </w:pPr>
      <w:r>
        <w:t xml:space="preserve">The application to register consists of a financing statement. The financing statement contains the particulars of parties to the transaction, the collateral and the security interest. </w:t>
      </w:r>
    </w:p>
    <w:p w:rsidR="002870BD" w:rsidRDefault="002870BD" w:rsidP="002870BD">
      <w:pPr>
        <w:ind w:left="0" w:firstLine="0"/>
      </w:pPr>
    </w:p>
    <w:p w:rsidR="008D1B75" w:rsidRDefault="008D1B75" w:rsidP="00CA0B29">
      <w:pPr>
        <w:numPr>
          <w:ilvl w:val="0"/>
          <w:numId w:val="1"/>
        </w:numPr>
      </w:pPr>
      <w:r>
        <w:t>On the registration of the financing statement the PPS Registrar issues a verification statement to the secured party. The verification statement can be relied upon by the secured party to prove their registration. The secured party must give a notice of the verification statement to the grantor</w:t>
      </w:r>
      <w:r w:rsidR="002870BD">
        <w:t xml:space="preserve"> (the need to do so can be excluded by agreement)</w:t>
      </w:r>
      <w:r>
        <w:t>.</w:t>
      </w:r>
    </w:p>
    <w:p w:rsidR="008D1B75" w:rsidRDefault="008D1B75" w:rsidP="008D1B75">
      <w:pPr>
        <w:pStyle w:val="ListParagraph"/>
      </w:pPr>
    </w:p>
    <w:p w:rsidR="008D1B75" w:rsidRPr="008D1B75" w:rsidRDefault="008D1B75" w:rsidP="00CA0B29">
      <w:pPr>
        <w:numPr>
          <w:ilvl w:val="0"/>
          <w:numId w:val="1"/>
        </w:numPr>
      </w:pPr>
      <w:r w:rsidRPr="008D1B75">
        <w:t>However, great care should be taken when registering security interests otherwise the registration (and therefore the security) may be invalid.</w:t>
      </w:r>
    </w:p>
    <w:p w:rsidR="008D1B75" w:rsidRPr="008D1B75" w:rsidRDefault="008D1B75" w:rsidP="008D1B75">
      <w:pPr>
        <w:ind w:left="360" w:firstLine="0"/>
      </w:pPr>
    </w:p>
    <w:p w:rsidR="001B5EBC" w:rsidRDefault="008D1B75" w:rsidP="00665398">
      <w:pPr>
        <w:numPr>
          <w:ilvl w:val="0"/>
          <w:numId w:val="1"/>
        </w:numPr>
      </w:pPr>
      <w:r w:rsidRPr="008D1B75">
        <w:t xml:space="preserve">The main thing to ensure is that you have the correct details for the grantor (being the person/entity granting the security).  </w:t>
      </w:r>
      <w:r w:rsidRPr="00665398">
        <w:rPr>
          <w:b/>
          <w:bCs/>
        </w:rPr>
        <w:t>If the grantor’s details are incorrect or the wrong grantor has been selected, the security will be invalid</w:t>
      </w:r>
      <w:r w:rsidRPr="008D1B75">
        <w:t>.</w:t>
      </w:r>
    </w:p>
    <w:p w:rsidR="001B5EBC" w:rsidRDefault="001B5EBC" w:rsidP="001B5EBC">
      <w:pPr>
        <w:spacing w:after="20" w:line="259" w:lineRule="auto"/>
        <w:ind w:left="0" w:firstLine="0"/>
      </w:pPr>
      <w:r>
        <w:t xml:space="preserve"> </w:t>
      </w:r>
    </w:p>
    <w:p w:rsidR="001B5EBC" w:rsidRDefault="001B5EBC" w:rsidP="00665398">
      <w:pPr>
        <w:numPr>
          <w:ilvl w:val="0"/>
          <w:numId w:val="1"/>
        </w:numPr>
        <w:ind w:hanging="360"/>
      </w:pPr>
      <w:r>
        <w:t xml:space="preserve">That is particularly so with regard to use of an ABN or ACN in appropriate cases.   </w:t>
      </w:r>
    </w:p>
    <w:p w:rsidR="00665398" w:rsidRDefault="00665398" w:rsidP="00665398">
      <w:pPr>
        <w:ind w:left="0" w:firstLine="0"/>
      </w:pPr>
    </w:p>
    <w:p w:rsidR="001B5EBC" w:rsidRDefault="001B5EBC" w:rsidP="00CA0B29">
      <w:pPr>
        <w:numPr>
          <w:ilvl w:val="0"/>
          <w:numId w:val="1"/>
        </w:numPr>
        <w:ind w:hanging="360"/>
      </w:pPr>
      <w:r>
        <w:t xml:space="preserve">Whether a party is required to refer to the ABN or ACN of the grantor in the registration turns on the capacity of the grantor in the underlying security agreement.  In summary, by reason of section 153 of the PPSA and Schedule 1.3, 2 and 3 of the Regulations: </w:t>
      </w:r>
    </w:p>
    <w:p w:rsidR="00665398" w:rsidRDefault="00665398" w:rsidP="00665398">
      <w:pPr>
        <w:ind w:left="0" w:firstLine="0"/>
      </w:pPr>
    </w:p>
    <w:p w:rsidR="001B5EBC" w:rsidRDefault="001B5EBC" w:rsidP="00CA0B29">
      <w:pPr>
        <w:numPr>
          <w:ilvl w:val="1"/>
          <w:numId w:val="16"/>
        </w:numPr>
        <w:ind w:hanging="432"/>
      </w:pPr>
      <w:r>
        <w:t xml:space="preserve">if the grantor entered the agreement as a trustee of a trust which holds an ABN – the registration should be recorded over the ABN of the trust. </w:t>
      </w:r>
    </w:p>
    <w:p w:rsidR="001B5EBC" w:rsidRDefault="001B5EBC" w:rsidP="00CA0B29">
      <w:pPr>
        <w:numPr>
          <w:ilvl w:val="1"/>
          <w:numId w:val="16"/>
        </w:numPr>
        <w:ind w:hanging="432"/>
      </w:pPr>
      <w:r>
        <w:t>if the grantor entered the agreement in its corporate capacity (</w:t>
      </w:r>
      <w:proofErr w:type="spellStart"/>
      <w:r>
        <w:t>ie</w:t>
      </w:r>
      <w:proofErr w:type="spellEnd"/>
      <w:r>
        <w:t xml:space="preserve">. not as a trustee) – the registration should be recorded over the ACN of the company. </w:t>
      </w:r>
    </w:p>
    <w:p w:rsidR="00804BCA" w:rsidRDefault="001B5EBC" w:rsidP="00665398">
      <w:pPr>
        <w:spacing w:after="21" w:line="259" w:lineRule="auto"/>
        <w:ind w:left="0" w:firstLine="0"/>
      </w:pPr>
      <w:r>
        <w:t xml:space="preserve"> </w:t>
      </w:r>
    </w:p>
    <w:p w:rsidR="00804BCA" w:rsidRDefault="00804BCA">
      <w:pPr>
        <w:spacing w:after="0" w:line="259" w:lineRule="auto"/>
        <w:ind w:left="720" w:firstLine="0"/>
      </w:pPr>
    </w:p>
    <w:p w:rsidR="00804BCA" w:rsidRDefault="000C01DF">
      <w:pPr>
        <w:spacing w:after="0" w:line="259" w:lineRule="auto"/>
        <w:ind w:left="10" w:right="-15" w:hanging="10"/>
        <w:jc w:val="right"/>
      </w:pPr>
      <w:r>
        <w:rPr>
          <w:b/>
          <w:color w:val="000000"/>
        </w:rPr>
        <w:t xml:space="preserve">Mark McKillop </w:t>
      </w:r>
    </w:p>
    <w:p w:rsidR="00804BCA" w:rsidRDefault="000C01DF">
      <w:pPr>
        <w:spacing w:after="0" w:line="259" w:lineRule="auto"/>
        <w:ind w:left="10" w:right="-15" w:hanging="10"/>
        <w:jc w:val="right"/>
      </w:pPr>
      <w:proofErr w:type="spellStart"/>
      <w:r>
        <w:rPr>
          <w:b/>
          <w:color w:val="000000"/>
        </w:rPr>
        <w:t>Castan</w:t>
      </w:r>
      <w:proofErr w:type="spellEnd"/>
      <w:r>
        <w:rPr>
          <w:b/>
          <w:color w:val="000000"/>
        </w:rPr>
        <w:t xml:space="preserve"> Chambers </w:t>
      </w:r>
    </w:p>
    <w:p w:rsidR="00804BCA" w:rsidRDefault="000C01DF">
      <w:pPr>
        <w:spacing w:after="0" w:line="259" w:lineRule="auto"/>
        <w:ind w:left="10" w:right="-15" w:hanging="10"/>
        <w:jc w:val="right"/>
      </w:pPr>
      <w:r>
        <w:rPr>
          <w:b/>
          <w:color w:val="000000"/>
        </w:rPr>
        <w:t>2</w:t>
      </w:r>
      <w:r w:rsidR="0059562D">
        <w:rPr>
          <w:b/>
          <w:color w:val="000000"/>
        </w:rPr>
        <w:t xml:space="preserve">3 June </w:t>
      </w:r>
      <w:r>
        <w:rPr>
          <w:b/>
          <w:color w:val="000000"/>
        </w:rPr>
        <w:t xml:space="preserve">2020 </w:t>
      </w:r>
    </w:p>
    <w:p w:rsidR="00804BCA" w:rsidRDefault="000C01DF">
      <w:pPr>
        <w:spacing w:after="0" w:line="259" w:lineRule="auto"/>
        <w:ind w:left="0" w:firstLine="0"/>
      </w:pPr>
      <w:r>
        <w:rPr>
          <w:color w:val="000000"/>
        </w:rPr>
        <w:t xml:space="preserve"> </w:t>
      </w:r>
    </w:p>
    <w:p w:rsidR="00804BCA" w:rsidRDefault="000C01DF">
      <w:pPr>
        <w:spacing w:after="0" w:line="259" w:lineRule="auto"/>
        <w:ind w:left="0" w:firstLine="0"/>
      </w:pPr>
      <w:r>
        <w:rPr>
          <w:color w:val="000000"/>
        </w:rPr>
        <w:t xml:space="preserve"> </w:t>
      </w:r>
    </w:p>
    <w:p w:rsidR="00804BCA" w:rsidRDefault="000C01DF">
      <w:pPr>
        <w:spacing w:after="0" w:line="259" w:lineRule="auto"/>
        <w:ind w:left="0" w:firstLine="0"/>
      </w:pPr>
      <w:r>
        <w:rPr>
          <w:color w:val="000000"/>
        </w:rPr>
        <w:t xml:space="preserve"> </w:t>
      </w:r>
    </w:p>
    <w:sectPr w:rsidR="00804BCA">
      <w:pgSz w:w="11906" w:h="16838"/>
      <w:pgMar w:top="1452" w:right="1441" w:bottom="1440" w:left="144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4549F" w:rsidRDefault="0004549F" w:rsidP="005602CD">
      <w:pPr>
        <w:spacing w:after="0" w:line="240" w:lineRule="auto"/>
      </w:pPr>
      <w:r>
        <w:separator/>
      </w:r>
    </w:p>
  </w:endnote>
  <w:endnote w:type="continuationSeparator" w:id="0">
    <w:p w:rsidR="0004549F" w:rsidRDefault="0004549F" w:rsidP="00560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4549F" w:rsidRDefault="0004549F" w:rsidP="005602CD">
      <w:pPr>
        <w:spacing w:after="0" w:line="240" w:lineRule="auto"/>
      </w:pPr>
      <w:r>
        <w:separator/>
      </w:r>
    </w:p>
  </w:footnote>
  <w:footnote w:type="continuationSeparator" w:id="0">
    <w:p w:rsidR="0004549F" w:rsidRDefault="0004549F" w:rsidP="005602CD">
      <w:pPr>
        <w:spacing w:after="0" w:line="240" w:lineRule="auto"/>
      </w:pPr>
      <w:r>
        <w:continuationSeparator/>
      </w:r>
    </w:p>
  </w:footnote>
  <w:footnote w:id="1">
    <w:p w:rsidR="005602CD" w:rsidRDefault="005602CD" w:rsidP="005602CD">
      <w:pPr>
        <w:ind w:left="360" w:firstLine="0"/>
      </w:pPr>
      <w:r>
        <w:rPr>
          <w:rStyle w:val="FootnoteReference"/>
        </w:rPr>
        <w:footnoteRef/>
      </w:r>
      <w:r w:rsidRPr="005602CD">
        <w:rPr>
          <w:sz w:val="18"/>
          <w:szCs w:val="18"/>
        </w:rPr>
        <w:t>I</w:t>
      </w:r>
      <w:r w:rsidRPr="00BC738A">
        <w:rPr>
          <w:sz w:val="18"/>
          <w:szCs w:val="18"/>
        </w:rPr>
        <w:t xml:space="preserve">n some situations it is unreasonable to expect a secured party to perfect a security interest as soon as the security interest arises.  In these situations </w:t>
      </w:r>
      <w:r w:rsidRPr="005602CD">
        <w:rPr>
          <w:sz w:val="18"/>
          <w:szCs w:val="18"/>
        </w:rPr>
        <w:t xml:space="preserve">the </w:t>
      </w:r>
      <w:r w:rsidRPr="00BC738A">
        <w:rPr>
          <w:sz w:val="18"/>
          <w:szCs w:val="18"/>
        </w:rPr>
        <w:t xml:space="preserve">PPSA provides a period of </w:t>
      </w:r>
      <w:r w:rsidRPr="005602CD">
        <w:rPr>
          <w:sz w:val="18"/>
          <w:szCs w:val="18"/>
        </w:rPr>
        <w:t>“</w:t>
      </w:r>
      <w:r w:rsidRPr="00BC738A">
        <w:rPr>
          <w:sz w:val="18"/>
          <w:szCs w:val="18"/>
        </w:rPr>
        <w:t>temporary perfection</w:t>
      </w:r>
      <w:r w:rsidRPr="005602CD">
        <w:rPr>
          <w:sz w:val="18"/>
          <w:szCs w:val="18"/>
        </w:rPr>
        <w:t>”</w:t>
      </w:r>
      <w:r w:rsidRPr="00BC738A">
        <w:rPr>
          <w:sz w:val="18"/>
          <w:szCs w:val="18"/>
        </w:rPr>
        <w:t xml:space="preserve"> to give the secured party time to perfect its security interest by taking possession or control of the collateral or, more commonly, by registering its security interest</w:t>
      </w:r>
      <w:r w:rsidRPr="005602CD">
        <w:rPr>
          <w:sz w:val="18"/>
          <w:szCs w:val="18"/>
        </w:rPr>
        <w:t>.  The period of temporary perfection is generally five business days after the relevant event.  If the secured party does not perfect its security interest within the period of temporary perfection, the security interest becomes unperfected at the end of the temporary perfection period.</w:t>
      </w:r>
    </w:p>
    <w:p w:rsidR="005602CD" w:rsidRDefault="005602CD">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B712D"/>
    <w:multiLevelType w:val="hybridMultilevel"/>
    <w:tmpl w:val="B54A824E"/>
    <w:lvl w:ilvl="0" w:tplc="8AD8032A">
      <w:start w:val="1"/>
      <w:numFmt w:val="lowerLetter"/>
      <w:lvlText w:val="(%1)"/>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C76D6B"/>
    <w:multiLevelType w:val="hybridMultilevel"/>
    <w:tmpl w:val="FA703B38"/>
    <w:lvl w:ilvl="0" w:tplc="08090015">
      <w:start w:val="2"/>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CB628FE"/>
    <w:multiLevelType w:val="hybridMultilevel"/>
    <w:tmpl w:val="9676A7D4"/>
    <w:lvl w:ilvl="0" w:tplc="DD886C04">
      <w:start w:val="31"/>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31200BB4">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75CEF512">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503EEF58">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AB0EC126">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59546450">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DE027C3A">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623C236A">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F156050A">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3" w15:restartNumberingAfterBreak="0">
    <w:nsid w:val="2369398C"/>
    <w:multiLevelType w:val="hybridMultilevel"/>
    <w:tmpl w:val="EB8263E2"/>
    <w:lvl w:ilvl="0" w:tplc="62C6E560">
      <w:start w:val="45"/>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2E98D246">
      <w:start w:val="1"/>
      <w:numFmt w:val="lowerLetter"/>
      <w:lvlText w:val="%2"/>
      <w:lvlJc w:val="left"/>
      <w:pPr>
        <w:ind w:left="10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6308A7D0">
      <w:start w:val="1"/>
      <w:numFmt w:val="lowerRoman"/>
      <w:lvlText w:val="%3"/>
      <w:lvlJc w:val="left"/>
      <w:pPr>
        <w:ind w:left="18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7F12651C">
      <w:start w:val="1"/>
      <w:numFmt w:val="decimal"/>
      <w:lvlText w:val="%4"/>
      <w:lvlJc w:val="left"/>
      <w:pPr>
        <w:ind w:left="25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3F9CD226">
      <w:start w:val="1"/>
      <w:numFmt w:val="lowerLetter"/>
      <w:lvlText w:val="%5"/>
      <w:lvlJc w:val="left"/>
      <w:pPr>
        <w:ind w:left="32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94ECB214">
      <w:start w:val="1"/>
      <w:numFmt w:val="lowerRoman"/>
      <w:lvlText w:val="%6"/>
      <w:lvlJc w:val="left"/>
      <w:pPr>
        <w:ind w:left="39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3AE6EC4A">
      <w:start w:val="1"/>
      <w:numFmt w:val="decimal"/>
      <w:lvlText w:val="%7"/>
      <w:lvlJc w:val="left"/>
      <w:pPr>
        <w:ind w:left="46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79F41896">
      <w:start w:val="1"/>
      <w:numFmt w:val="lowerLetter"/>
      <w:lvlText w:val="%8"/>
      <w:lvlJc w:val="left"/>
      <w:pPr>
        <w:ind w:left="54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B5D6872E">
      <w:start w:val="1"/>
      <w:numFmt w:val="lowerRoman"/>
      <w:lvlText w:val="%9"/>
      <w:lvlJc w:val="left"/>
      <w:pPr>
        <w:ind w:left="61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4" w15:restartNumberingAfterBreak="0">
    <w:nsid w:val="334A55A5"/>
    <w:multiLevelType w:val="hybridMultilevel"/>
    <w:tmpl w:val="DA0466F8"/>
    <w:lvl w:ilvl="0" w:tplc="D108B57A">
      <w:start w:val="3"/>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AAB22442">
      <w:start w:val="1"/>
      <w:numFmt w:val="bullet"/>
      <w:lvlText w:val="•"/>
      <w:lvlJc w:val="left"/>
      <w:pPr>
        <w:ind w:left="72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2" w:tplc="492C6EC2">
      <w:start w:val="1"/>
      <w:numFmt w:val="bullet"/>
      <w:lvlText w:val="▪"/>
      <w:lvlJc w:val="left"/>
      <w:pPr>
        <w:ind w:left="144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3" w:tplc="9D983644">
      <w:start w:val="1"/>
      <w:numFmt w:val="bullet"/>
      <w:lvlText w:val="•"/>
      <w:lvlJc w:val="left"/>
      <w:pPr>
        <w:ind w:left="216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4" w:tplc="3CC0DE8E">
      <w:start w:val="1"/>
      <w:numFmt w:val="bullet"/>
      <w:lvlText w:val="o"/>
      <w:lvlJc w:val="left"/>
      <w:pPr>
        <w:ind w:left="288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5" w:tplc="A9E8AA42">
      <w:start w:val="1"/>
      <w:numFmt w:val="bullet"/>
      <w:lvlText w:val="▪"/>
      <w:lvlJc w:val="left"/>
      <w:pPr>
        <w:ind w:left="360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6" w:tplc="553AFDBE">
      <w:start w:val="1"/>
      <w:numFmt w:val="bullet"/>
      <w:lvlText w:val="•"/>
      <w:lvlJc w:val="left"/>
      <w:pPr>
        <w:ind w:left="432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7" w:tplc="202A669C">
      <w:start w:val="1"/>
      <w:numFmt w:val="bullet"/>
      <w:lvlText w:val="o"/>
      <w:lvlJc w:val="left"/>
      <w:pPr>
        <w:ind w:left="504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8" w:tplc="C54EF6AA">
      <w:start w:val="1"/>
      <w:numFmt w:val="bullet"/>
      <w:lvlText w:val="▪"/>
      <w:lvlJc w:val="left"/>
      <w:pPr>
        <w:ind w:left="576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abstractNum>
  <w:abstractNum w:abstractNumId="5" w15:restartNumberingAfterBreak="0">
    <w:nsid w:val="36006BDA"/>
    <w:multiLevelType w:val="hybridMultilevel"/>
    <w:tmpl w:val="B54A824E"/>
    <w:lvl w:ilvl="0" w:tplc="8AD8032A">
      <w:start w:val="1"/>
      <w:numFmt w:val="lowerLetter"/>
      <w:lvlText w:val="(%1)"/>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D0456B"/>
    <w:multiLevelType w:val="hybridMultilevel"/>
    <w:tmpl w:val="DD267C34"/>
    <w:lvl w:ilvl="0" w:tplc="396A2B46">
      <w:start w:val="19"/>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8BCA59C2">
      <w:start w:val="1"/>
      <w:numFmt w:val="bullet"/>
      <w:lvlText w:val="•"/>
      <w:lvlJc w:val="left"/>
      <w:pPr>
        <w:ind w:left="720"/>
      </w:pPr>
      <w:rPr>
        <w:rFonts w:ascii="Arial" w:eastAsia="Arial" w:hAnsi="Arial" w:cs="Arial"/>
        <w:b w:val="0"/>
        <w:i w:val="0"/>
        <w:strike w:val="0"/>
        <w:dstrike w:val="0"/>
        <w:color w:val="444444"/>
        <w:sz w:val="24"/>
        <w:szCs w:val="24"/>
        <w:u w:val="none" w:color="000000"/>
        <w:bdr w:val="none" w:sz="0" w:space="0" w:color="auto"/>
        <w:shd w:val="clear" w:color="auto" w:fill="auto"/>
        <w:vertAlign w:val="baseline"/>
      </w:rPr>
    </w:lvl>
    <w:lvl w:ilvl="2" w:tplc="CF6E6012">
      <w:start w:val="1"/>
      <w:numFmt w:val="bullet"/>
      <w:lvlText w:val="▪"/>
      <w:lvlJc w:val="left"/>
      <w:pPr>
        <w:ind w:left="1440"/>
      </w:pPr>
      <w:rPr>
        <w:rFonts w:ascii="Segoe UI Symbol" w:eastAsia="Segoe UI Symbol" w:hAnsi="Segoe UI Symbol" w:cs="Segoe UI Symbol"/>
        <w:b w:val="0"/>
        <w:i w:val="0"/>
        <w:strike w:val="0"/>
        <w:dstrike w:val="0"/>
        <w:color w:val="444444"/>
        <w:sz w:val="24"/>
        <w:szCs w:val="24"/>
        <w:u w:val="none" w:color="000000"/>
        <w:bdr w:val="none" w:sz="0" w:space="0" w:color="auto"/>
        <w:shd w:val="clear" w:color="auto" w:fill="auto"/>
        <w:vertAlign w:val="baseline"/>
      </w:rPr>
    </w:lvl>
    <w:lvl w:ilvl="3" w:tplc="16DC4D2A">
      <w:start w:val="1"/>
      <w:numFmt w:val="bullet"/>
      <w:lvlText w:val="•"/>
      <w:lvlJc w:val="left"/>
      <w:pPr>
        <w:ind w:left="2160"/>
      </w:pPr>
      <w:rPr>
        <w:rFonts w:ascii="Arial" w:eastAsia="Arial" w:hAnsi="Arial" w:cs="Arial"/>
        <w:b w:val="0"/>
        <w:i w:val="0"/>
        <w:strike w:val="0"/>
        <w:dstrike w:val="0"/>
        <w:color w:val="444444"/>
        <w:sz w:val="24"/>
        <w:szCs w:val="24"/>
        <w:u w:val="none" w:color="000000"/>
        <w:bdr w:val="none" w:sz="0" w:space="0" w:color="auto"/>
        <w:shd w:val="clear" w:color="auto" w:fill="auto"/>
        <w:vertAlign w:val="baseline"/>
      </w:rPr>
    </w:lvl>
    <w:lvl w:ilvl="4" w:tplc="B03A18AE">
      <w:start w:val="1"/>
      <w:numFmt w:val="bullet"/>
      <w:lvlText w:val="o"/>
      <w:lvlJc w:val="left"/>
      <w:pPr>
        <w:ind w:left="2880"/>
      </w:pPr>
      <w:rPr>
        <w:rFonts w:ascii="Segoe UI Symbol" w:eastAsia="Segoe UI Symbol" w:hAnsi="Segoe UI Symbol" w:cs="Segoe UI Symbol"/>
        <w:b w:val="0"/>
        <w:i w:val="0"/>
        <w:strike w:val="0"/>
        <w:dstrike w:val="0"/>
        <w:color w:val="444444"/>
        <w:sz w:val="24"/>
        <w:szCs w:val="24"/>
        <w:u w:val="none" w:color="000000"/>
        <w:bdr w:val="none" w:sz="0" w:space="0" w:color="auto"/>
        <w:shd w:val="clear" w:color="auto" w:fill="auto"/>
        <w:vertAlign w:val="baseline"/>
      </w:rPr>
    </w:lvl>
    <w:lvl w:ilvl="5" w:tplc="334A187A">
      <w:start w:val="1"/>
      <w:numFmt w:val="bullet"/>
      <w:lvlText w:val="▪"/>
      <w:lvlJc w:val="left"/>
      <w:pPr>
        <w:ind w:left="3600"/>
      </w:pPr>
      <w:rPr>
        <w:rFonts w:ascii="Segoe UI Symbol" w:eastAsia="Segoe UI Symbol" w:hAnsi="Segoe UI Symbol" w:cs="Segoe UI Symbol"/>
        <w:b w:val="0"/>
        <w:i w:val="0"/>
        <w:strike w:val="0"/>
        <w:dstrike w:val="0"/>
        <w:color w:val="444444"/>
        <w:sz w:val="24"/>
        <w:szCs w:val="24"/>
        <w:u w:val="none" w:color="000000"/>
        <w:bdr w:val="none" w:sz="0" w:space="0" w:color="auto"/>
        <w:shd w:val="clear" w:color="auto" w:fill="auto"/>
        <w:vertAlign w:val="baseline"/>
      </w:rPr>
    </w:lvl>
    <w:lvl w:ilvl="6" w:tplc="79EE1C02">
      <w:start w:val="1"/>
      <w:numFmt w:val="bullet"/>
      <w:lvlText w:val="•"/>
      <w:lvlJc w:val="left"/>
      <w:pPr>
        <w:ind w:left="4320"/>
      </w:pPr>
      <w:rPr>
        <w:rFonts w:ascii="Arial" w:eastAsia="Arial" w:hAnsi="Arial" w:cs="Arial"/>
        <w:b w:val="0"/>
        <w:i w:val="0"/>
        <w:strike w:val="0"/>
        <w:dstrike w:val="0"/>
        <w:color w:val="444444"/>
        <w:sz w:val="24"/>
        <w:szCs w:val="24"/>
        <w:u w:val="none" w:color="000000"/>
        <w:bdr w:val="none" w:sz="0" w:space="0" w:color="auto"/>
        <w:shd w:val="clear" w:color="auto" w:fill="auto"/>
        <w:vertAlign w:val="baseline"/>
      </w:rPr>
    </w:lvl>
    <w:lvl w:ilvl="7" w:tplc="D18C638A">
      <w:start w:val="1"/>
      <w:numFmt w:val="bullet"/>
      <w:lvlText w:val="o"/>
      <w:lvlJc w:val="left"/>
      <w:pPr>
        <w:ind w:left="5040"/>
      </w:pPr>
      <w:rPr>
        <w:rFonts w:ascii="Segoe UI Symbol" w:eastAsia="Segoe UI Symbol" w:hAnsi="Segoe UI Symbol" w:cs="Segoe UI Symbol"/>
        <w:b w:val="0"/>
        <w:i w:val="0"/>
        <w:strike w:val="0"/>
        <w:dstrike w:val="0"/>
        <w:color w:val="444444"/>
        <w:sz w:val="24"/>
        <w:szCs w:val="24"/>
        <w:u w:val="none" w:color="000000"/>
        <w:bdr w:val="none" w:sz="0" w:space="0" w:color="auto"/>
        <w:shd w:val="clear" w:color="auto" w:fill="auto"/>
        <w:vertAlign w:val="baseline"/>
      </w:rPr>
    </w:lvl>
    <w:lvl w:ilvl="8" w:tplc="392A7C36">
      <w:start w:val="1"/>
      <w:numFmt w:val="bullet"/>
      <w:lvlText w:val="▪"/>
      <w:lvlJc w:val="left"/>
      <w:pPr>
        <w:ind w:left="5760"/>
      </w:pPr>
      <w:rPr>
        <w:rFonts w:ascii="Segoe UI Symbol" w:eastAsia="Segoe UI Symbol" w:hAnsi="Segoe UI Symbol" w:cs="Segoe UI Symbol"/>
        <w:b w:val="0"/>
        <w:i w:val="0"/>
        <w:strike w:val="0"/>
        <w:dstrike w:val="0"/>
        <w:color w:val="444444"/>
        <w:sz w:val="24"/>
        <w:szCs w:val="24"/>
        <w:u w:val="none" w:color="000000"/>
        <w:bdr w:val="none" w:sz="0" w:space="0" w:color="auto"/>
        <w:shd w:val="clear" w:color="auto" w:fill="auto"/>
        <w:vertAlign w:val="baseline"/>
      </w:rPr>
    </w:lvl>
  </w:abstractNum>
  <w:abstractNum w:abstractNumId="7" w15:restartNumberingAfterBreak="0">
    <w:nsid w:val="39FE0F92"/>
    <w:multiLevelType w:val="hybridMultilevel"/>
    <w:tmpl w:val="10280A68"/>
    <w:lvl w:ilvl="0" w:tplc="8DCAE528">
      <w:start w:val="7"/>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D32E1DB2">
      <w:start w:val="1"/>
      <w:numFmt w:val="lowerLetter"/>
      <w:lvlText w:val="(%2)"/>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801AF978">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3552F98E">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615C6148">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870C3EF0">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E13E9210">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0868F454">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C068E884">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8" w15:restartNumberingAfterBreak="0">
    <w:nsid w:val="422F54F4"/>
    <w:multiLevelType w:val="hybridMultilevel"/>
    <w:tmpl w:val="9F0E5114"/>
    <w:lvl w:ilvl="0" w:tplc="EC1A4628">
      <w:start w:val="39"/>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CD4453D2">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35046194">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0902E280">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CAF24CF8">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40EE3D6E">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2A347ED0">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78F2657E">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30CC8614">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9" w15:restartNumberingAfterBreak="0">
    <w:nsid w:val="45C8545C"/>
    <w:multiLevelType w:val="hybridMultilevel"/>
    <w:tmpl w:val="4D20498C"/>
    <w:lvl w:ilvl="0" w:tplc="FA8C930A">
      <w:start w:val="24"/>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84FACE02">
      <w:start w:val="1"/>
      <w:numFmt w:val="lowerLetter"/>
      <w:lvlText w:val="%2"/>
      <w:lvlJc w:val="left"/>
      <w:pPr>
        <w:ind w:left="10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D6DEB9E6">
      <w:start w:val="1"/>
      <w:numFmt w:val="lowerRoman"/>
      <w:lvlText w:val="%3"/>
      <w:lvlJc w:val="left"/>
      <w:pPr>
        <w:ind w:left="18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2D768134">
      <w:start w:val="1"/>
      <w:numFmt w:val="decimal"/>
      <w:lvlText w:val="%4"/>
      <w:lvlJc w:val="left"/>
      <w:pPr>
        <w:ind w:left="25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39AE3896">
      <w:start w:val="1"/>
      <w:numFmt w:val="lowerLetter"/>
      <w:lvlText w:val="%5"/>
      <w:lvlJc w:val="left"/>
      <w:pPr>
        <w:ind w:left="32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1D6060FA">
      <w:start w:val="1"/>
      <w:numFmt w:val="lowerRoman"/>
      <w:lvlText w:val="%6"/>
      <w:lvlJc w:val="left"/>
      <w:pPr>
        <w:ind w:left="39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DD5215D6">
      <w:start w:val="1"/>
      <w:numFmt w:val="decimal"/>
      <w:lvlText w:val="%7"/>
      <w:lvlJc w:val="left"/>
      <w:pPr>
        <w:ind w:left="46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089CC74A">
      <w:start w:val="1"/>
      <w:numFmt w:val="lowerLetter"/>
      <w:lvlText w:val="%8"/>
      <w:lvlJc w:val="left"/>
      <w:pPr>
        <w:ind w:left="54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118C761A">
      <w:start w:val="1"/>
      <w:numFmt w:val="lowerRoman"/>
      <w:lvlText w:val="%9"/>
      <w:lvlJc w:val="left"/>
      <w:pPr>
        <w:ind w:left="61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10" w15:restartNumberingAfterBreak="0">
    <w:nsid w:val="50882BCF"/>
    <w:multiLevelType w:val="hybridMultilevel"/>
    <w:tmpl w:val="A7BA2802"/>
    <w:lvl w:ilvl="0" w:tplc="249A87B2">
      <w:start w:val="14"/>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6040E760">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DFD0CAAA">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8E02507C">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06D2F0B2">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8CE84020">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69E4EE76">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D1727C0C">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47FA901E">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11" w15:restartNumberingAfterBreak="0">
    <w:nsid w:val="50A345B1"/>
    <w:multiLevelType w:val="hybridMultilevel"/>
    <w:tmpl w:val="C2804A40"/>
    <w:lvl w:ilvl="0" w:tplc="FD52E51E">
      <w:start w:val="12"/>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46AA3B8E">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22C68026">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98FEE284">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7C485CD2">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713EE952">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877AE0B8">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AA8653D6">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AACE3D78">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12" w15:restartNumberingAfterBreak="0">
    <w:nsid w:val="58563132"/>
    <w:multiLevelType w:val="hybridMultilevel"/>
    <w:tmpl w:val="C2804A40"/>
    <w:lvl w:ilvl="0" w:tplc="FD52E51E">
      <w:start w:val="12"/>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46AA3B8E">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22C68026">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98FEE284">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7C485CD2">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713EE952">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877AE0B8">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AA8653D6">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AACE3D78">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13" w15:restartNumberingAfterBreak="0">
    <w:nsid w:val="5ACB77E1"/>
    <w:multiLevelType w:val="hybridMultilevel"/>
    <w:tmpl w:val="66D2E590"/>
    <w:lvl w:ilvl="0" w:tplc="4830AD7E">
      <w:start w:val="34"/>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273CA5C6">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2CA2CEB0">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E83A8ECC">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B796ABB2">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55BED944">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C194CA8A">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92069B0A">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7654D560">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14" w15:restartNumberingAfterBreak="0">
    <w:nsid w:val="6ADB1559"/>
    <w:multiLevelType w:val="hybridMultilevel"/>
    <w:tmpl w:val="B54A824E"/>
    <w:lvl w:ilvl="0" w:tplc="8AD8032A">
      <w:start w:val="1"/>
      <w:numFmt w:val="lowerLetter"/>
      <w:lvlText w:val="(%1)"/>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2772030"/>
    <w:multiLevelType w:val="hybridMultilevel"/>
    <w:tmpl w:val="2020C14C"/>
    <w:lvl w:ilvl="0" w:tplc="6FF2F97A">
      <w:start w:val="1"/>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8AD8032A">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A3C89B4A">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CC320DE2">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E8CA0BC4">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BA749B20">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C6BCAAAE">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3EEA04BE">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2F9281FE">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num w:numId="1">
    <w:abstractNumId w:val="15"/>
  </w:num>
  <w:num w:numId="2">
    <w:abstractNumId w:val="4"/>
  </w:num>
  <w:num w:numId="3">
    <w:abstractNumId w:val="7"/>
  </w:num>
  <w:num w:numId="4">
    <w:abstractNumId w:val="11"/>
  </w:num>
  <w:num w:numId="5">
    <w:abstractNumId w:val="10"/>
  </w:num>
  <w:num w:numId="6">
    <w:abstractNumId w:val="6"/>
  </w:num>
  <w:num w:numId="7">
    <w:abstractNumId w:val="9"/>
  </w:num>
  <w:num w:numId="8">
    <w:abstractNumId w:val="2"/>
  </w:num>
  <w:num w:numId="9">
    <w:abstractNumId w:val="13"/>
  </w:num>
  <w:num w:numId="10">
    <w:abstractNumId w:val="8"/>
  </w:num>
  <w:num w:numId="11">
    <w:abstractNumId w:val="3"/>
  </w:num>
  <w:num w:numId="12">
    <w:abstractNumId w:val="1"/>
  </w:num>
  <w:num w:numId="13">
    <w:abstractNumId w:val="5"/>
  </w:num>
  <w:num w:numId="14">
    <w:abstractNumId w:val="14"/>
  </w:num>
  <w:num w:numId="15">
    <w:abstractNumId w:val="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4BCA"/>
    <w:rsid w:val="00026812"/>
    <w:rsid w:val="00027164"/>
    <w:rsid w:val="0004549F"/>
    <w:rsid w:val="000C01DF"/>
    <w:rsid w:val="001B5EBC"/>
    <w:rsid w:val="00215545"/>
    <w:rsid w:val="002870BD"/>
    <w:rsid w:val="00431902"/>
    <w:rsid w:val="00442021"/>
    <w:rsid w:val="0055383F"/>
    <w:rsid w:val="00554B1C"/>
    <w:rsid w:val="005602CD"/>
    <w:rsid w:val="0059562D"/>
    <w:rsid w:val="005B1532"/>
    <w:rsid w:val="00665398"/>
    <w:rsid w:val="007202D9"/>
    <w:rsid w:val="00776559"/>
    <w:rsid w:val="007C3B2A"/>
    <w:rsid w:val="00804BCA"/>
    <w:rsid w:val="0086138D"/>
    <w:rsid w:val="008D1B75"/>
    <w:rsid w:val="00A21CFC"/>
    <w:rsid w:val="00A34427"/>
    <w:rsid w:val="00A872BC"/>
    <w:rsid w:val="00BC738A"/>
    <w:rsid w:val="00C1020F"/>
    <w:rsid w:val="00C41472"/>
    <w:rsid w:val="00C619BC"/>
    <w:rsid w:val="00C95B83"/>
    <w:rsid w:val="00CA0B29"/>
    <w:rsid w:val="00D26D5E"/>
    <w:rsid w:val="00D71DC0"/>
    <w:rsid w:val="00D86C44"/>
    <w:rsid w:val="00E6129A"/>
    <w:rsid w:val="00F67A47"/>
    <w:rsid w:val="00FD748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A678B6C"/>
  <w15:docId w15:val="{DAAC13C0-866B-764D-8263-3581EF191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68" w:lineRule="auto"/>
      <w:ind w:left="370" w:hanging="370"/>
    </w:pPr>
    <w:rPr>
      <w:rFonts w:ascii="Times New Roman" w:eastAsia="Times New Roman" w:hAnsi="Times New Roman" w:cs="Times New Roman"/>
      <w:color w:val="444444"/>
    </w:rPr>
  </w:style>
  <w:style w:type="paragraph" w:styleId="Heading1">
    <w:name w:val="heading 1"/>
    <w:next w:val="Normal"/>
    <w:link w:val="Heading1Char"/>
    <w:uiPriority w:val="9"/>
    <w:qFormat/>
    <w:pPr>
      <w:keepNext/>
      <w:keepLines/>
      <w:spacing w:after="19" w:line="259" w:lineRule="auto"/>
      <w:ind w:left="10" w:hanging="10"/>
      <w:outlineLvl w:val="0"/>
    </w:pPr>
    <w:rPr>
      <w:rFonts w:ascii="Times New Roman" w:eastAsia="Times New Roman" w:hAnsi="Times New Roman" w:cs="Times New Roman"/>
      <w:b/>
      <w:color w:val="444444"/>
    </w:rPr>
  </w:style>
  <w:style w:type="paragraph" w:styleId="Heading2">
    <w:name w:val="heading 2"/>
    <w:next w:val="Normal"/>
    <w:link w:val="Heading2Char"/>
    <w:uiPriority w:val="9"/>
    <w:unhideWhenUsed/>
    <w:qFormat/>
    <w:pPr>
      <w:keepNext/>
      <w:keepLines/>
      <w:spacing w:after="5" w:line="266" w:lineRule="auto"/>
      <w:ind w:left="10" w:hanging="10"/>
      <w:outlineLvl w:val="1"/>
    </w:pPr>
    <w:rPr>
      <w:rFonts w:ascii="Times New Roman" w:eastAsia="Times New Roman" w:hAnsi="Times New Roman" w:cs="Times New Roman"/>
      <w:i/>
      <w:color w:val="444444"/>
    </w:rPr>
  </w:style>
  <w:style w:type="paragraph" w:styleId="Heading3">
    <w:name w:val="heading 3"/>
    <w:next w:val="Normal"/>
    <w:link w:val="Heading3Char"/>
    <w:uiPriority w:val="9"/>
    <w:unhideWhenUsed/>
    <w:qFormat/>
    <w:pPr>
      <w:keepNext/>
      <w:keepLines/>
      <w:spacing w:after="19" w:line="259" w:lineRule="auto"/>
      <w:ind w:left="10" w:hanging="10"/>
      <w:outlineLvl w:val="2"/>
    </w:pPr>
    <w:rPr>
      <w:rFonts w:ascii="Times New Roman" w:eastAsia="Times New Roman" w:hAnsi="Times New Roman" w:cs="Times New Roman"/>
      <w:b/>
      <w:color w:val="4444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444444"/>
      <w:sz w:val="24"/>
    </w:rPr>
  </w:style>
  <w:style w:type="character" w:customStyle="1" w:styleId="Heading3Char">
    <w:name w:val="Heading 3 Char"/>
    <w:link w:val="Heading3"/>
    <w:rPr>
      <w:rFonts w:ascii="Times New Roman" w:eastAsia="Times New Roman" w:hAnsi="Times New Roman" w:cs="Times New Roman"/>
      <w:b/>
      <w:color w:val="444444"/>
      <w:sz w:val="24"/>
    </w:rPr>
  </w:style>
  <w:style w:type="character" w:customStyle="1" w:styleId="Heading2Char">
    <w:name w:val="Heading 2 Char"/>
    <w:link w:val="Heading2"/>
    <w:rPr>
      <w:rFonts w:ascii="Times New Roman" w:eastAsia="Times New Roman" w:hAnsi="Times New Roman" w:cs="Times New Roman"/>
      <w:i/>
      <w:color w:val="444444"/>
      <w:sz w:val="24"/>
    </w:rPr>
  </w:style>
  <w:style w:type="paragraph" w:styleId="ListParagraph">
    <w:name w:val="List Paragraph"/>
    <w:basedOn w:val="Normal"/>
    <w:uiPriority w:val="34"/>
    <w:qFormat/>
    <w:rsid w:val="00442021"/>
    <w:pPr>
      <w:ind w:left="720"/>
      <w:contextualSpacing/>
    </w:pPr>
  </w:style>
  <w:style w:type="paragraph" w:styleId="BalloonText">
    <w:name w:val="Balloon Text"/>
    <w:basedOn w:val="Normal"/>
    <w:link w:val="BalloonTextChar"/>
    <w:uiPriority w:val="99"/>
    <w:semiHidden/>
    <w:unhideWhenUsed/>
    <w:rsid w:val="00E6129A"/>
    <w:pPr>
      <w:spacing w:after="0" w:line="240" w:lineRule="auto"/>
    </w:pPr>
    <w:rPr>
      <w:sz w:val="18"/>
      <w:szCs w:val="18"/>
    </w:rPr>
  </w:style>
  <w:style w:type="character" w:customStyle="1" w:styleId="BalloonTextChar">
    <w:name w:val="Balloon Text Char"/>
    <w:basedOn w:val="DefaultParagraphFont"/>
    <w:link w:val="BalloonText"/>
    <w:uiPriority w:val="99"/>
    <w:semiHidden/>
    <w:rsid w:val="00E6129A"/>
    <w:rPr>
      <w:rFonts w:ascii="Times New Roman" w:eastAsia="Times New Roman" w:hAnsi="Times New Roman" w:cs="Times New Roman"/>
      <w:color w:val="444444"/>
      <w:sz w:val="18"/>
      <w:szCs w:val="18"/>
    </w:rPr>
  </w:style>
  <w:style w:type="paragraph" w:styleId="FootnoteText">
    <w:name w:val="footnote text"/>
    <w:basedOn w:val="Normal"/>
    <w:link w:val="FootnoteTextChar"/>
    <w:uiPriority w:val="99"/>
    <w:semiHidden/>
    <w:unhideWhenUsed/>
    <w:rsid w:val="005602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02CD"/>
    <w:rPr>
      <w:rFonts w:ascii="Times New Roman" w:eastAsia="Times New Roman" w:hAnsi="Times New Roman" w:cs="Times New Roman"/>
      <w:color w:val="444444"/>
      <w:sz w:val="20"/>
      <w:szCs w:val="20"/>
    </w:rPr>
  </w:style>
  <w:style w:type="character" w:styleId="FootnoteReference">
    <w:name w:val="footnote reference"/>
    <w:basedOn w:val="DefaultParagraphFont"/>
    <w:uiPriority w:val="99"/>
    <w:semiHidden/>
    <w:unhideWhenUsed/>
    <w:rsid w:val="005602C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6865174">
      <w:bodyDiv w:val="1"/>
      <w:marLeft w:val="0"/>
      <w:marRight w:val="0"/>
      <w:marTop w:val="0"/>
      <w:marBottom w:val="0"/>
      <w:divBdr>
        <w:top w:val="none" w:sz="0" w:space="0" w:color="auto"/>
        <w:left w:val="none" w:sz="0" w:space="0" w:color="auto"/>
        <w:bottom w:val="none" w:sz="0" w:space="0" w:color="auto"/>
        <w:right w:val="none" w:sz="0" w:space="0" w:color="auto"/>
      </w:divBdr>
    </w:div>
    <w:div w:id="14450350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6</Pages>
  <Words>1776</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Microsoft Word - Leo Cussens - PPSA - 14.2.20.docx</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Leo Cussens - PPSA - 14.2.20.docx</dc:title>
  <dc:subject/>
  <dc:creator>Mark McKillop</dc:creator>
  <cp:keywords/>
  <cp:lastModifiedBy>Mark McKillop</cp:lastModifiedBy>
  <cp:revision>16</cp:revision>
  <dcterms:created xsi:type="dcterms:W3CDTF">2020-06-21T07:59:00Z</dcterms:created>
  <dcterms:modified xsi:type="dcterms:W3CDTF">2020-06-21T12:01:00Z</dcterms:modified>
</cp:coreProperties>
</file>