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0A67C" w14:textId="26C9B202" w:rsidR="006B1FBD" w:rsidRDefault="006B1FBD" w:rsidP="00BA5602">
      <w:pPr>
        <w:jc w:val="center"/>
        <w:rPr>
          <w:rFonts w:ascii="Times New Roman" w:eastAsia="Times New Roman" w:hAnsi="Times New Roman" w:cs="Times New Roman"/>
          <w:lang w:eastAsia="en-GB"/>
        </w:rPr>
      </w:pPr>
      <w:r>
        <w:rPr>
          <w:rFonts w:ascii="Times New Roman" w:eastAsia="Times New Roman" w:hAnsi="Times New Roman" w:cs="Times New Roman"/>
          <w:lang w:eastAsia="en-GB"/>
        </w:rPr>
        <w:t>Mark McKillo</w:t>
      </w:r>
      <w:r w:rsidR="00EB73A6">
        <w:rPr>
          <w:rFonts w:ascii="Times New Roman" w:eastAsia="Times New Roman" w:hAnsi="Times New Roman" w:cs="Times New Roman"/>
          <w:lang w:eastAsia="en-GB"/>
        </w:rPr>
        <w:t>p</w:t>
      </w:r>
      <w:r w:rsidR="00D077AA">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Barrister at Law</w:t>
      </w:r>
      <w:r w:rsidR="005C293E">
        <w:rPr>
          <w:rFonts w:ascii="Times New Roman" w:eastAsia="Times New Roman" w:hAnsi="Times New Roman" w:cs="Times New Roman"/>
          <w:lang w:eastAsia="en-GB"/>
        </w:rPr>
        <w:t>*</w:t>
      </w:r>
    </w:p>
    <w:p w14:paraId="634A5BFA" w14:textId="77777777" w:rsidR="00EB73A6" w:rsidRDefault="00EB73A6" w:rsidP="00EB73A6">
      <w:pPr>
        <w:jc w:val="right"/>
        <w:rPr>
          <w:rFonts w:ascii="Times New Roman" w:eastAsia="Times New Roman" w:hAnsi="Times New Roman" w:cs="Times New Roman"/>
          <w:lang w:eastAsia="en-GB"/>
        </w:rPr>
      </w:pPr>
    </w:p>
    <w:p w14:paraId="504AA724" w14:textId="77777777" w:rsidR="006B1FBD" w:rsidRDefault="006B1FBD">
      <w:pPr>
        <w:rPr>
          <w:rFonts w:ascii="Times New Roman" w:eastAsia="Times New Roman" w:hAnsi="Times New Roman" w:cs="Times New Roman"/>
          <w:lang w:eastAsia="en-GB"/>
        </w:rPr>
      </w:pPr>
    </w:p>
    <w:p w14:paraId="033BD0B5" w14:textId="35BEFBCF" w:rsidR="00EA1CDF" w:rsidRPr="006B1FBD" w:rsidRDefault="006B1FBD" w:rsidP="008B759C">
      <w:pPr>
        <w:spacing w:line="360" w:lineRule="auto"/>
        <w:jc w:val="center"/>
        <w:rPr>
          <w:b/>
          <w:bCs/>
        </w:rPr>
      </w:pPr>
      <w:r w:rsidRPr="006B1FBD">
        <w:rPr>
          <w:rFonts w:ascii="Times New Roman" w:eastAsia="Times New Roman" w:hAnsi="Times New Roman" w:cs="Times New Roman"/>
          <w:b/>
          <w:bCs/>
          <w:lang w:eastAsia="en-GB"/>
        </w:rPr>
        <w:t>Submission in response to the Exposure Draft of the Corporations Amendment (Corporate Insolvency Reforms) Bill 2020 (“The Bill”) dated 1 October 2020</w:t>
      </w:r>
    </w:p>
    <w:p w14:paraId="5682E1E2" w14:textId="626302A0" w:rsidR="006B1FBD" w:rsidRDefault="006B1FBD"/>
    <w:p w14:paraId="49E81671" w14:textId="44DCCF9D" w:rsidR="00EB73A6" w:rsidRPr="00BA5602" w:rsidRDefault="00EB73A6">
      <w:pPr>
        <w:rPr>
          <w:rFonts w:ascii="Times New Roman" w:hAnsi="Times New Roman" w:cs="Times New Roman"/>
          <w:b/>
          <w:bCs/>
        </w:rPr>
      </w:pPr>
      <w:r w:rsidRPr="00BA5602">
        <w:rPr>
          <w:rFonts w:ascii="Times New Roman" w:hAnsi="Times New Roman" w:cs="Times New Roman"/>
          <w:b/>
          <w:bCs/>
        </w:rPr>
        <w:t>Introduction</w:t>
      </w:r>
      <w:r w:rsidR="00BA5602">
        <w:rPr>
          <w:rFonts w:ascii="Times New Roman" w:hAnsi="Times New Roman" w:cs="Times New Roman"/>
          <w:b/>
          <w:bCs/>
        </w:rPr>
        <w:t>, Biographical details</w:t>
      </w:r>
    </w:p>
    <w:p w14:paraId="29CBEEA4" w14:textId="77777777" w:rsidR="00EB73A6" w:rsidRPr="00BA5602" w:rsidRDefault="00EB73A6"/>
    <w:p w14:paraId="453017A5" w14:textId="449419EA" w:rsidR="006B1FBD" w:rsidRPr="00BA5602" w:rsidRDefault="006B1FBD" w:rsidP="00D077AA">
      <w:pPr>
        <w:spacing w:line="360" w:lineRule="auto"/>
        <w:rPr>
          <w:rFonts w:ascii="Times New Roman" w:hAnsi="Times New Roman" w:cs="Times New Roman"/>
        </w:rPr>
      </w:pPr>
      <w:r w:rsidRPr="00BA5602">
        <w:rPr>
          <w:rFonts w:ascii="Times New Roman" w:hAnsi="Times New Roman" w:cs="Times New Roman"/>
        </w:rPr>
        <w:t xml:space="preserve">I am a barrister practising in insolvency law at the Victorian Bar.  As a barrister of twelve years standing, and a solicitor of 13 years standing before being called to the Bar, I have been in practise in insolvency law since 1994. </w:t>
      </w:r>
      <w:r w:rsidR="00D077AA">
        <w:rPr>
          <w:rFonts w:ascii="Times New Roman" w:hAnsi="Times New Roman" w:cs="Times New Roman"/>
        </w:rPr>
        <w:t xml:space="preserve"> </w:t>
      </w:r>
      <w:r w:rsidRPr="00BA5602">
        <w:rPr>
          <w:rFonts w:ascii="Times New Roman" w:hAnsi="Times New Roman" w:cs="Times New Roman"/>
        </w:rPr>
        <w:t xml:space="preserve">I maintain a website commenting on insolvency law, securities law and commercial law at </w:t>
      </w:r>
      <w:hyperlink r:id="rId7" w:history="1">
        <w:r w:rsidRPr="00BA5602">
          <w:rPr>
            <w:rStyle w:val="Hyperlink"/>
            <w:rFonts w:ascii="Times New Roman" w:hAnsi="Times New Roman" w:cs="Times New Roman"/>
          </w:rPr>
          <w:t>markmckillopbarrister.com</w:t>
        </w:r>
      </w:hyperlink>
      <w:r w:rsidR="00EB73A6" w:rsidRPr="00BA5602">
        <w:rPr>
          <w:rFonts w:ascii="Times New Roman" w:hAnsi="Times New Roman" w:cs="Times New Roman"/>
        </w:rPr>
        <w:t xml:space="preserve"> and regularly lecture and publish in the area to the profession</w:t>
      </w:r>
      <w:r w:rsidRPr="00BA5602">
        <w:rPr>
          <w:rFonts w:ascii="Times New Roman" w:hAnsi="Times New Roman" w:cs="Times New Roman"/>
        </w:rPr>
        <w:t xml:space="preserve">.  I have published two short articles </w:t>
      </w:r>
      <w:r w:rsidR="00D077AA">
        <w:rPr>
          <w:rFonts w:ascii="Times New Roman" w:hAnsi="Times New Roman" w:cs="Times New Roman"/>
        </w:rPr>
        <w:t xml:space="preserve">discussing </w:t>
      </w:r>
      <w:r w:rsidRPr="00BA5602">
        <w:rPr>
          <w:rFonts w:ascii="Times New Roman" w:hAnsi="Times New Roman" w:cs="Times New Roman"/>
        </w:rPr>
        <w:t>the Bill</w:t>
      </w:r>
      <w:r w:rsidR="00EB73A6" w:rsidRPr="00BA5602">
        <w:rPr>
          <w:rFonts w:ascii="Times New Roman" w:hAnsi="Times New Roman" w:cs="Times New Roman"/>
        </w:rPr>
        <w:t xml:space="preserve"> which appear on my site</w:t>
      </w:r>
      <w:r w:rsidRPr="00BA5602">
        <w:rPr>
          <w:rFonts w:ascii="Times New Roman" w:hAnsi="Times New Roman" w:cs="Times New Roman"/>
        </w:rPr>
        <w:t xml:space="preserve">.  </w:t>
      </w:r>
    </w:p>
    <w:p w14:paraId="5BB58E58" w14:textId="5F22B011" w:rsidR="006B1FBD" w:rsidRPr="00BA5602" w:rsidRDefault="006B1FBD" w:rsidP="00D077AA">
      <w:pPr>
        <w:spacing w:line="360" w:lineRule="auto"/>
        <w:rPr>
          <w:rFonts w:ascii="Times New Roman" w:hAnsi="Times New Roman" w:cs="Times New Roman"/>
        </w:rPr>
      </w:pPr>
    </w:p>
    <w:p w14:paraId="50C95DCF" w14:textId="64925B73" w:rsidR="006B1FBD" w:rsidRPr="00BA5602" w:rsidRDefault="006B1FBD" w:rsidP="00D077AA">
      <w:pPr>
        <w:spacing w:line="360" w:lineRule="auto"/>
        <w:rPr>
          <w:rFonts w:ascii="Times New Roman" w:hAnsi="Times New Roman" w:cs="Times New Roman"/>
        </w:rPr>
      </w:pPr>
      <w:r w:rsidRPr="00BA5602">
        <w:rPr>
          <w:rFonts w:ascii="Times New Roman" w:hAnsi="Times New Roman" w:cs="Times New Roman"/>
        </w:rPr>
        <w:t>This short submission focusses on a few points arising out of my review of the Bill and reaction from clients, readers and other commentators.</w:t>
      </w:r>
    </w:p>
    <w:p w14:paraId="556A947F" w14:textId="74CFB09D" w:rsidR="006B1FBD" w:rsidRDefault="006B1FBD" w:rsidP="00D077AA">
      <w:pPr>
        <w:spacing w:line="360" w:lineRule="auto"/>
        <w:rPr>
          <w:rFonts w:ascii="Times New Roman" w:hAnsi="Times New Roman" w:cs="Times New Roman"/>
          <w:i/>
          <w:iCs/>
        </w:rPr>
      </w:pPr>
    </w:p>
    <w:p w14:paraId="3A36A69C" w14:textId="1DCAA1C7" w:rsidR="00EB73A6" w:rsidRDefault="00EB73A6" w:rsidP="00D077AA">
      <w:pPr>
        <w:spacing w:line="360" w:lineRule="auto"/>
        <w:rPr>
          <w:rFonts w:ascii="Times New Roman" w:hAnsi="Times New Roman" w:cs="Times New Roman"/>
          <w:b/>
          <w:bCs/>
          <w:i/>
          <w:iCs/>
        </w:rPr>
      </w:pPr>
      <w:r w:rsidRPr="00EB73A6">
        <w:rPr>
          <w:rFonts w:ascii="Times New Roman" w:hAnsi="Times New Roman" w:cs="Times New Roman"/>
          <w:b/>
          <w:bCs/>
          <w:i/>
          <w:iCs/>
        </w:rPr>
        <w:t>Submission</w:t>
      </w:r>
      <w:r>
        <w:rPr>
          <w:rFonts w:ascii="Times New Roman" w:hAnsi="Times New Roman" w:cs="Times New Roman"/>
          <w:b/>
          <w:bCs/>
          <w:i/>
          <w:iCs/>
        </w:rPr>
        <w:t>s</w:t>
      </w:r>
    </w:p>
    <w:p w14:paraId="01AD0E76" w14:textId="67107D10" w:rsidR="00EB73A6" w:rsidRDefault="00EB73A6" w:rsidP="00D077AA">
      <w:pPr>
        <w:spacing w:line="360" w:lineRule="auto"/>
        <w:rPr>
          <w:rFonts w:ascii="Times New Roman" w:hAnsi="Times New Roman" w:cs="Times New Roman"/>
          <w:b/>
          <w:bCs/>
          <w:i/>
          <w:iCs/>
        </w:rPr>
      </w:pPr>
    </w:p>
    <w:p w14:paraId="6A7757E8" w14:textId="5CC3B0BF" w:rsidR="00F107A7" w:rsidRDefault="00F107A7" w:rsidP="00D077AA">
      <w:pPr>
        <w:pStyle w:val="ListParagraph"/>
        <w:numPr>
          <w:ilvl w:val="0"/>
          <w:numId w:val="1"/>
        </w:numPr>
        <w:spacing w:line="360" w:lineRule="auto"/>
        <w:rPr>
          <w:rFonts w:ascii="Times New Roman" w:hAnsi="Times New Roman" w:cs="Times New Roman"/>
        </w:rPr>
      </w:pPr>
      <w:r w:rsidRPr="00D077AA">
        <w:rPr>
          <w:rFonts w:ascii="Times New Roman" w:hAnsi="Times New Roman" w:cs="Times New Roman"/>
          <w:b/>
          <w:bCs/>
        </w:rPr>
        <w:t>The calculation of the debt threshold</w:t>
      </w:r>
      <w:r>
        <w:rPr>
          <w:rFonts w:ascii="Times New Roman" w:hAnsi="Times New Roman" w:cs="Times New Roman"/>
        </w:rPr>
        <w:t xml:space="preserve"> </w:t>
      </w:r>
      <w:r w:rsidR="008B759C">
        <w:rPr>
          <w:rFonts w:ascii="Times New Roman" w:hAnsi="Times New Roman" w:cs="Times New Roman"/>
        </w:rPr>
        <w:t>W</w:t>
      </w:r>
      <w:r>
        <w:rPr>
          <w:rFonts w:ascii="Times New Roman" w:hAnsi="Times New Roman" w:cs="Times New Roman"/>
        </w:rPr>
        <w:t>hat sort of debts are to count is a real issue:</w:t>
      </w:r>
    </w:p>
    <w:p w14:paraId="7F745E35" w14:textId="77777777" w:rsidR="00F107A7" w:rsidRPr="00DE095E" w:rsidRDefault="00F107A7" w:rsidP="00D077AA">
      <w:pPr>
        <w:pStyle w:val="ListParagraph"/>
        <w:spacing w:line="360" w:lineRule="auto"/>
        <w:rPr>
          <w:rFonts w:ascii="Times New Roman" w:hAnsi="Times New Roman" w:cs="Times New Roman"/>
        </w:rPr>
      </w:pPr>
    </w:p>
    <w:p w14:paraId="2E4F0BEB" w14:textId="77777777" w:rsidR="00F107A7" w:rsidRDefault="00F107A7"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Future debts:  any company with long lease obligations for land or equipment may qualify for the debt threshold if future lease payments are counted;</w:t>
      </w:r>
    </w:p>
    <w:p w14:paraId="2989092B" w14:textId="77777777" w:rsidR="00F107A7" w:rsidRDefault="00F107A7"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Contingent debts:  likewise, companies which are subject to liquidated damages) claims in operating contracts (</w:t>
      </w:r>
      <w:proofErr w:type="spellStart"/>
      <w:r>
        <w:rPr>
          <w:rFonts w:ascii="Times New Roman" w:hAnsi="Times New Roman" w:cs="Times New Roman"/>
        </w:rPr>
        <w:t>eg</w:t>
      </w:r>
      <w:proofErr w:type="spellEnd"/>
      <w:r>
        <w:rPr>
          <w:rFonts w:ascii="Times New Roman" w:hAnsi="Times New Roman" w:cs="Times New Roman"/>
        </w:rPr>
        <w:t xml:space="preserve"> a construction subcontract) may also reach the threshold with such claims.</w:t>
      </w:r>
    </w:p>
    <w:p w14:paraId="09318573" w14:textId="77777777" w:rsidR="00F107A7" w:rsidRDefault="00F107A7" w:rsidP="00D077AA">
      <w:pPr>
        <w:pStyle w:val="ListParagraph"/>
        <w:spacing w:line="360" w:lineRule="auto"/>
        <w:ind w:left="1080"/>
        <w:rPr>
          <w:rFonts w:ascii="Times New Roman" w:hAnsi="Times New Roman" w:cs="Times New Roman"/>
        </w:rPr>
      </w:pPr>
    </w:p>
    <w:p w14:paraId="01053FA8" w14:textId="4C09226A" w:rsidR="00F107A7" w:rsidRDefault="00F107A7" w:rsidP="00D077AA">
      <w:pPr>
        <w:pStyle w:val="ListParagraph"/>
        <w:spacing w:line="360" w:lineRule="auto"/>
        <w:ind w:left="360"/>
        <w:rPr>
          <w:rFonts w:ascii="Times New Roman" w:hAnsi="Times New Roman" w:cs="Times New Roman"/>
        </w:rPr>
      </w:pPr>
      <w:r>
        <w:rPr>
          <w:rFonts w:ascii="Times New Roman" w:hAnsi="Times New Roman" w:cs="Times New Roman"/>
        </w:rPr>
        <w:t>Careful thought needs to be given to the basket of companies the government is really looking to protect.  If the government is really looking to carve out those companies which make up</w:t>
      </w:r>
      <w:r w:rsidR="008B759C">
        <w:rPr>
          <w:rFonts w:ascii="Times New Roman" w:hAnsi="Times New Roman" w:cs="Times New Roman"/>
        </w:rPr>
        <w:t xml:space="preserve"> (by number) </w:t>
      </w:r>
      <w:r>
        <w:rPr>
          <w:rFonts w:ascii="Times New Roman" w:hAnsi="Times New Roman" w:cs="Times New Roman"/>
        </w:rPr>
        <w:t xml:space="preserve">the bulk of insolvencies, which typically do not (or should </w:t>
      </w:r>
      <w:r>
        <w:rPr>
          <w:rFonts w:ascii="Times New Roman" w:hAnsi="Times New Roman" w:cs="Times New Roman"/>
        </w:rPr>
        <w:lastRenderedPageBreak/>
        <w:t>not) involve much work by the insolvency practitioner due to low levels of assets, then the debt threshold ought to be lower.  The objective for these companies may be to “speed” through the process of getting in and distributing assets and to turn over a new leaf so the business transforms into a</w:t>
      </w:r>
      <w:r w:rsidR="008B759C">
        <w:rPr>
          <w:rFonts w:ascii="Times New Roman" w:hAnsi="Times New Roman" w:cs="Times New Roman"/>
        </w:rPr>
        <w:t xml:space="preserve"> debt free </w:t>
      </w:r>
      <w:r>
        <w:rPr>
          <w:rFonts w:ascii="Times New Roman" w:hAnsi="Times New Roman" w:cs="Times New Roman"/>
        </w:rPr>
        <w:t xml:space="preserve">existence.  </w:t>
      </w:r>
    </w:p>
    <w:p w14:paraId="44B5C48C" w14:textId="77777777" w:rsidR="00F107A7" w:rsidRDefault="00F107A7" w:rsidP="00D077AA">
      <w:pPr>
        <w:pStyle w:val="ListParagraph"/>
        <w:spacing w:line="360" w:lineRule="auto"/>
        <w:ind w:left="360"/>
        <w:rPr>
          <w:rFonts w:ascii="Times New Roman" w:hAnsi="Times New Roman" w:cs="Times New Roman"/>
        </w:rPr>
      </w:pPr>
    </w:p>
    <w:p w14:paraId="71713018" w14:textId="324148B0" w:rsidR="00F107A7" w:rsidRDefault="00F107A7" w:rsidP="00D077AA">
      <w:pPr>
        <w:pStyle w:val="ListParagraph"/>
        <w:spacing w:line="360" w:lineRule="auto"/>
        <w:ind w:left="360"/>
        <w:rPr>
          <w:rFonts w:ascii="Times New Roman" w:hAnsi="Times New Roman" w:cs="Times New Roman"/>
        </w:rPr>
      </w:pPr>
      <w:r>
        <w:rPr>
          <w:rFonts w:ascii="Times New Roman" w:hAnsi="Times New Roman" w:cs="Times New Roman"/>
        </w:rPr>
        <w:t>The prejudice to creditors of a very simplified process is not unwarranted since</w:t>
      </w:r>
      <w:r w:rsidR="008B759C">
        <w:rPr>
          <w:rFonts w:ascii="Times New Roman" w:hAnsi="Times New Roman" w:cs="Times New Roman"/>
        </w:rPr>
        <w:t>,</w:t>
      </w:r>
      <w:r>
        <w:rPr>
          <w:rFonts w:ascii="Times New Roman" w:hAnsi="Times New Roman" w:cs="Times New Roman"/>
        </w:rPr>
        <w:t xml:space="preserve"> for such companies</w:t>
      </w:r>
      <w:r w:rsidR="008B759C">
        <w:rPr>
          <w:rFonts w:ascii="Times New Roman" w:hAnsi="Times New Roman" w:cs="Times New Roman"/>
        </w:rPr>
        <w:t>,</w:t>
      </w:r>
      <w:r>
        <w:rPr>
          <w:rFonts w:ascii="Times New Roman" w:hAnsi="Times New Roman" w:cs="Times New Roman"/>
        </w:rPr>
        <w:t xml:space="preserve"> there would normally be little or no return to creditors anyway.  Such a policy objective would be aided by a low threshold of say $250,000 not including future or contingent claims</w:t>
      </w:r>
      <w:r w:rsidR="008B759C">
        <w:rPr>
          <w:rFonts w:ascii="Times New Roman" w:hAnsi="Times New Roman" w:cs="Times New Roman"/>
        </w:rPr>
        <w:t xml:space="preserve">.  </w:t>
      </w:r>
    </w:p>
    <w:p w14:paraId="3ADD23A5" w14:textId="77777777" w:rsidR="00F107A7" w:rsidRPr="001A1409" w:rsidRDefault="00F107A7" w:rsidP="00D077AA">
      <w:pPr>
        <w:pStyle w:val="ListParagraph"/>
        <w:spacing w:line="360" w:lineRule="auto"/>
        <w:ind w:left="360"/>
        <w:rPr>
          <w:rFonts w:ascii="Times New Roman" w:hAnsi="Times New Roman" w:cs="Times New Roman"/>
        </w:rPr>
      </w:pPr>
    </w:p>
    <w:p w14:paraId="771FB273" w14:textId="63202ECC" w:rsidR="00DE2AFA" w:rsidRPr="00F107A7" w:rsidRDefault="00D077AA" w:rsidP="00D077AA">
      <w:pPr>
        <w:pStyle w:val="ListParagraph"/>
        <w:numPr>
          <w:ilvl w:val="0"/>
          <w:numId w:val="1"/>
        </w:numPr>
        <w:spacing w:line="360" w:lineRule="auto"/>
        <w:rPr>
          <w:rFonts w:ascii="Times New Roman" w:hAnsi="Times New Roman" w:cs="Times New Roman"/>
        </w:rPr>
      </w:pPr>
      <w:r w:rsidRPr="00F107A7">
        <w:rPr>
          <w:rFonts w:ascii="Times New Roman" w:hAnsi="Times New Roman" w:cs="Times New Roman"/>
        </w:rPr>
        <w:t xml:space="preserve">It is </w:t>
      </w:r>
      <w:r w:rsidRPr="00D077AA">
        <w:rPr>
          <w:rFonts w:ascii="Times New Roman" w:hAnsi="Times New Roman" w:cs="Times New Roman"/>
          <w:b/>
          <w:bCs/>
        </w:rPr>
        <w:t>undesirable to have the law on issues of substance left to separate regulations</w:t>
      </w:r>
      <w:r w:rsidRPr="00F107A7">
        <w:rPr>
          <w:rFonts w:ascii="Times New Roman" w:hAnsi="Times New Roman" w:cs="Times New Roman"/>
        </w:rPr>
        <w:t>.</w:t>
      </w:r>
      <w:r>
        <w:rPr>
          <w:rFonts w:ascii="Times New Roman" w:hAnsi="Times New Roman" w:cs="Times New Roman"/>
        </w:rPr>
        <w:t xml:space="preserve">  </w:t>
      </w:r>
      <w:r w:rsidR="00EB73A6" w:rsidRPr="00F107A7">
        <w:rPr>
          <w:rFonts w:ascii="Times New Roman" w:hAnsi="Times New Roman" w:cs="Times New Roman"/>
        </w:rPr>
        <w:t xml:space="preserve">Large parts of the Bill leave substantive issues to be made by regulation. </w:t>
      </w:r>
      <w:r w:rsidR="009664F3" w:rsidRPr="00F107A7">
        <w:rPr>
          <w:rFonts w:ascii="Times New Roman" w:hAnsi="Times New Roman" w:cs="Times New Roman"/>
        </w:rPr>
        <w:t>It is preferable to have much of the law once passed contained in one place for ease of reference</w:t>
      </w:r>
      <w:r w:rsidR="008B759C">
        <w:rPr>
          <w:rFonts w:ascii="Times New Roman" w:hAnsi="Times New Roman" w:cs="Times New Roman"/>
        </w:rPr>
        <w:t>,</w:t>
      </w:r>
      <w:r w:rsidR="009664F3" w:rsidRPr="00F107A7">
        <w:rPr>
          <w:rFonts w:ascii="Times New Roman" w:hAnsi="Times New Roman" w:cs="Times New Roman"/>
        </w:rPr>
        <w:t xml:space="preserve"> not just for lawyers</w:t>
      </w:r>
      <w:r w:rsidR="008B759C">
        <w:rPr>
          <w:rFonts w:ascii="Times New Roman" w:hAnsi="Times New Roman" w:cs="Times New Roman"/>
        </w:rPr>
        <w:t>,</w:t>
      </w:r>
      <w:r w:rsidR="009664F3" w:rsidRPr="00F107A7">
        <w:rPr>
          <w:rFonts w:ascii="Times New Roman" w:hAnsi="Times New Roman" w:cs="Times New Roman"/>
        </w:rPr>
        <w:t xml:space="preserve"> but for businesses using or exposed to the law as debtors or creditors.   </w:t>
      </w:r>
      <w:r w:rsidR="00EB73A6" w:rsidRPr="00F107A7">
        <w:rPr>
          <w:rFonts w:ascii="Times New Roman" w:hAnsi="Times New Roman" w:cs="Times New Roman"/>
        </w:rPr>
        <w:t xml:space="preserve">Whilst it is understandable that such an approach be taken to prepare the exposure draft to save time, I strongly suggest that the final draft of the Bill incorporate as much of the amendments in the text of the Act as possible. </w:t>
      </w:r>
      <w:r w:rsidR="002F6C38" w:rsidRPr="00F107A7">
        <w:rPr>
          <w:rFonts w:ascii="Times New Roman" w:hAnsi="Times New Roman" w:cs="Times New Roman"/>
        </w:rPr>
        <w:t xml:space="preserve"> </w:t>
      </w:r>
      <w:r w:rsidR="00DE2AFA" w:rsidRPr="00F107A7">
        <w:rPr>
          <w:rFonts w:ascii="Times New Roman" w:hAnsi="Times New Roman" w:cs="Times New Roman"/>
        </w:rPr>
        <w:t>In particular:</w:t>
      </w:r>
    </w:p>
    <w:p w14:paraId="5168C1BA" w14:textId="77777777" w:rsidR="00DE2AFA" w:rsidRDefault="00DE2AFA" w:rsidP="00D077AA">
      <w:pPr>
        <w:pStyle w:val="ListParagraph"/>
        <w:spacing w:line="360" w:lineRule="auto"/>
        <w:ind w:left="360"/>
        <w:rPr>
          <w:rFonts w:ascii="Times New Roman" w:hAnsi="Times New Roman" w:cs="Times New Roman"/>
        </w:rPr>
      </w:pPr>
    </w:p>
    <w:p w14:paraId="052101C0" w14:textId="3A8FD899" w:rsidR="00DE2AFA" w:rsidRDefault="00DE2AFA"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 xml:space="preserve">Powers of the Court in </w:t>
      </w:r>
      <w:r w:rsidR="002F6C38">
        <w:rPr>
          <w:rFonts w:ascii="Times New Roman" w:hAnsi="Times New Roman" w:cs="Times New Roman"/>
        </w:rPr>
        <w:t xml:space="preserve">Part 1 </w:t>
      </w:r>
      <w:r>
        <w:rPr>
          <w:rFonts w:ascii="Times New Roman" w:hAnsi="Times New Roman" w:cs="Times New Roman"/>
        </w:rPr>
        <w:t>Division 6;</w:t>
      </w:r>
    </w:p>
    <w:p w14:paraId="115B3127" w14:textId="0FBD0232" w:rsidR="00DE2AFA" w:rsidRDefault="00DE2AFA"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 xml:space="preserve">Provisions in </w:t>
      </w:r>
      <w:r w:rsidR="002F6C38">
        <w:rPr>
          <w:rFonts w:ascii="Times New Roman" w:hAnsi="Times New Roman" w:cs="Times New Roman"/>
        </w:rPr>
        <w:t xml:space="preserve">s.453E and </w:t>
      </w:r>
      <w:r>
        <w:rPr>
          <w:rFonts w:ascii="Times New Roman" w:hAnsi="Times New Roman" w:cs="Times New Roman"/>
        </w:rPr>
        <w:t>s.456G generally, particularly with regard to defining the rights, obligations and liabilities of the restructuring practitioner;</w:t>
      </w:r>
    </w:p>
    <w:p w14:paraId="342E869A" w14:textId="3A795E25" w:rsidR="00DE2AFA" w:rsidRDefault="00DE2AFA"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Debt criteria for determining companies that can participate in a restructuring in s. 456G and in simplified liquidation in s.500AA(1)(d);</w:t>
      </w:r>
    </w:p>
    <w:p w14:paraId="2373656F" w14:textId="470E974B" w:rsidR="00DE2AFA" w:rsidRPr="00DE2AFA" w:rsidRDefault="00DE2AFA"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 xml:space="preserve">Form, content, </w:t>
      </w:r>
      <w:r w:rsidRPr="00DE2AFA">
        <w:rPr>
          <w:rFonts w:ascii="Times New Roman" w:hAnsi="Times New Roman" w:cs="Times New Roman"/>
        </w:rPr>
        <w:t>making, implementation, varying, lapsing, voiding, contravention and termination of restructuring plans</w:t>
      </w:r>
      <w:r>
        <w:rPr>
          <w:rFonts w:ascii="Times New Roman" w:hAnsi="Times New Roman" w:cs="Times New Roman"/>
        </w:rPr>
        <w:t xml:space="preserve">:  see </w:t>
      </w:r>
      <w:r w:rsidR="002F6C38">
        <w:rPr>
          <w:rFonts w:ascii="Times New Roman" w:hAnsi="Times New Roman" w:cs="Times New Roman"/>
        </w:rPr>
        <w:t xml:space="preserve">Division 3 generally. </w:t>
      </w:r>
    </w:p>
    <w:p w14:paraId="5BF3B5C8" w14:textId="79131F52" w:rsidR="00DE2AFA" w:rsidRDefault="00DE2AFA" w:rsidP="00D077AA">
      <w:pPr>
        <w:pStyle w:val="ListParagraph"/>
        <w:numPr>
          <w:ilvl w:val="1"/>
          <w:numId w:val="1"/>
        </w:numPr>
        <w:spacing w:line="360" w:lineRule="auto"/>
        <w:rPr>
          <w:rFonts w:ascii="Times New Roman" w:hAnsi="Times New Roman" w:cs="Times New Roman"/>
        </w:rPr>
      </w:pPr>
      <w:r>
        <w:rPr>
          <w:rFonts w:ascii="Times New Roman" w:hAnsi="Times New Roman" w:cs="Times New Roman"/>
        </w:rPr>
        <w:t>Limitations on Voidable Transactions in Debt Restructuring in s.500AE</w:t>
      </w:r>
      <w:r w:rsidR="002F6C38">
        <w:rPr>
          <w:rFonts w:ascii="Times New Roman" w:hAnsi="Times New Roman" w:cs="Times New Roman"/>
        </w:rPr>
        <w:t>.</w:t>
      </w:r>
    </w:p>
    <w:p w14:paraId="1E4A1F87" w14:textId="3E8B620C" w:rsidR="00BA5602" w:rsidRDefault="00BA5602" w:rsidP="00D077AA">
      <w:pPr>
        <w:spacing w:line="360" w:lineRule="auto"/>
        <w:rPr>
          <w:rFonts w:ascii="Times New Roman" w:hAnsi="Times New Roman" w:cs="Times New Roman"/>
        </w:rPr>
      </w:pPr>
    </w:p>
    <w:p w14:paraId="5BC034DD" w14:textId="74397788" w:rsidR="00BA5602" w:rsidRPr="008B759C" w:rsidRDefault="00D077AA" w:rsidP="00D077AA">
      <w:pPr>
        <w:pStyle w:val="ListParagraph"/>
        <w:numPr>
          <w:ilvl w:val="0"/>
          <w:numId w:val="1"/>
        </w:numPr>
        <w:spacing w:line="360" w:lineRule="auto"/>
        <w:rPr>
          <w:rFonts w:ascii="Times New Roman" w:hAnsi="Times New Roman" w:cs="Times New Roman"/>
          <w:b/>
          <w:bCs/>
        </w:rPr>
      </w:pPr>
      <w:r>
        <w:rPr>
          <w:rFonts w:ascii="Times New Roman" w:hAnsi="Times New Roman" w:cs="Times New Roman"/>
          <w:b/>
          <w:bCs/>
        </w:rPr>
        <w:t xml:space="preserve">Priority of Debts incurred in Restructuring </w:t>
      </w:r>
      <w:r w:rsidR="00BA5602">
        <w:rPr>
          <w:rFonts w:ascii="Times New Roman" w:hAnsi="Times New Roman" w:cs="Times New Roman"/>
        </w:rPr>
        <w:t xml:space="preserve">A practical problem is how a business which enters restructuring can operate in the </w:t>
      </w:r>
      <w:r w:rsidR="008B759C">
        <w:rPr>
          <w:rFonts w:ascii="Times New Roman" w:hAnsi="Times New Roman" w:cs="Times New Roman"/>
        </w:rPr>
        <w:t>35-day</w:t>
      </w:r>
      <w:r w:rsidR="00BA5602">
        <w:rPr>
          <w:rFonts w:ascii="Times New Roman" w:hAnsi="Times New Roman" w:cs="Times New Roman"/>
        </w:rPr>
        <w:t xml:space="preserve"> period before the restructuring is completed.  Who is liable for debts incurred in that period?  The restructuring practitioner will not be.  What about the directors?  If not the directors, then what protection will creditors who give credit in this period have?  Will they have priority over all other pre appointment creditors?  It is difficult to see how the business will receive any credit in this period which may end up killing the business off.  </w:t>
      </w:r>
      <w:r w:rsidRPr="008B759C">
        <w:rPr>
          <w:rFonts w:ascii="Times New Roman" w:hAnsi="Times New Roman" w:cs="Times New Roman"/>
          <w:b/>
          <w:bCs/>
        </w:rPr>
        <w:t xml:space="preserve">I consider the best solution </w:t>
      </w:r>
      <w:proofErr w:type="gramStart"/>
      <w:r w:rsidRPr="008B759C">
        <w:rPr>
          <w:rFonts w:ascii="Times New Roman" w:hAnsi="Times New Roman" w:cs="Times New Roman"/>
          <w:b/>
          <w:bCs/>
        </w:rPr>
        <w:t xml:space="preserve">is  </w:t>
      </w:r>
      <w:r w:rsidRPr="008B759C">
        <w:rPr>
          <w:rFonts w:ascii="Times New Roman" w:hAnsi="Times New Roman" w:cs="Times New Roman"/>
          <w:b/>
          <w:bCs/>
        </w:rPr>
        <w:lastRenderedPageBreak/>
        <w:t>probably</w:t>
      </w:r>
      <w:proofErr w:type="gramEnd"/>
      <w:r w:rsidRPr="008B759C">
        <w:rPr>
          <w:rFonts w:ascii="Times New Roman" w:hAnsi="Times New Roman" w:cs="Times New Roman"/>
          <w:b/>
          <w:bCs/>
        </w:rPr>
        <w:t xml:space="preserve"> to give debts incurred in the ordinary course in the restructuring period a higher priority than pre appointment debts.  </w:t>
      </w:r>
    </w:p>
    <w:p w14:paraId="7F292765" w14:textId="77777777" w:rsidR="00BA5602" w:rsidRDefault="00BA5602" w:rsidP="00D077AA">
      <w:pPr>
        <w:pStyle w:val="ListParagraph"/>
        <w:spacing w:line="360" w:lineRule="auto"/>
        <w:ind w:left="360"/>
        <w:rPr>
          <w:rFonts w:ascii="Times New Roman" w:hAnsi="Times New Roman" w:cs="Times New Roman"/>
        </w:rPr>
      </w:pPr>
      <w:r>
        <w:rPr>
          <w:rFonts w:ascii="Times New Roman" w:hAnsi="Times New Roman" w:cs="Times New Roman"/>
        </w:rPr>
        <w:t xml:space="preserve"> </w:t>
      </w:r>
    </w:p>
    <w:p w14:paraId="401D57A6" w14:textId="30C36493" w:rsidR="001A1409" w:rsidRPr="00D077AA" w:rsidRDefault="00D077AA" w:rsidP="00FE377A">
      <w:pPr>
        <w:pStyle w:val="ListParagraph"/>
        <w:numPr>
          <w:ilvl w:val="0"/>
          <w:numId w:val="1"/>
        </w:numPr>
        <w:spacing w:line="360" w:lineRule="auto"/>
        <w:rPr>
          <w:rFonts w:ascii="Times New Roman" w:hAnsi="Times New Roman" w:cs="Times New Roman"/>
          <w:b/>
          <w:bCs/>
        </w:rPr>
      </w:pPr>
      <w:r w:rsidRPr="00D077AA">
        <w:rPr>
          <w:rFonts w:ascii="Times New Roman" w:hAnsi="Times New Roman" w:cs="Times New Roman"/>
          <w:b/>
          <w:bCs/>
        </w:rPr>
        <w:t xml:space="preserve">Limit Court </w:t>
      </w:r>
      <w:r w:rsidR="008B759C">
        <w:rPr>
          <w:rFonts w:ascii="Times New Roman" w:hAnsi="Times New Roman" w:cs="Times New Roman"/>
          <w:b/>
          <w:bCs/>
        </w:rPr>
        <w:t>a</w:t>
      </w:r>
      <w:r w:rsidR="008B759C" w:rsidRPr="00D077AA">
        <w:rPr>
          <w:rFonts w:ascii="Times New Roman" w:hAnsi="Times New Roman" w:cs="Times New Roman"/>
          <w:b/>
          <w:bCs/>
        </w:rPr>
        <w:t>pplications but</w:t>
      </w:r>
      <w:r w:rsidRPr="00D077AA">
        <w:rPr>
          <w:rFonts w:ascii="Times New Roman" w:hAnsi="Times New Roman" w:cs="Times New Roman"/>
          <w:b/>
          <w:bCs/>
        </w:rPr>
        <w:t xml:space="preserve"> permit the Courts to </w:t>
      </w:r>
      <w:r>
        <w:rPr>
          <w:rFonts w:ascii="Times New Roman" w:hAnsi="Times New Roman" w:cs="Times New Roman"/>
          <w:b/>
          <w:bCs/>
        </w:rPr>
        <w:t>set the limits</w:t>
      </w:r>
      <w:r w:rsidRPr="00D077AA">
        <w:rPr>
          <w:rFonts w:ascii="Times New Roman" w:hAnsi="Times New Roman" w:cs="Times New Roman"/>
          <w:b/>
          <w:bCs/>
        </w:rPr>
        <w:t xml:space="preserve"> by requiring leave</w:t>
      </w:r>
      <w:r w:rsidR="008B759C">
        <w:rPr>
          <w:rFonts w:ascii="Times New Roman" w:hAnsi="Times New Roman" w:cs="Times New Roman"/>
          <w:b/>
          <w:bCs/>
        </w:rPr>
        <w:t>.</w:t>
      </w:r>
      <w:r w:rsidRPr="00D077AA">
        <w:rPr>
          <w:rFonts w:ascii="Times New Roman" w:hAnsi="Times New Roman" w:cs="Times New Roman"/>
          <w:b/>
          <w:bCs/>
        </w:rPr>
        <w:t xml:space="preserve">  </w:t>
      </w:r>
      <w:r w:rsidR="00BA5602" w:rsidRPr="00D077AA">
        <w:rPr>
          <w:rFonts w:ascii="Times New Roman" w:hAnsi="Times New Roman" w:cs="Times New Roman"/>
        </w:rPr>
        <w:t>T</w:t>
      </w:r>
      <w:r w:rsidR="009664F3" w:rsidRPr="00D077AA">
        <w:rPr>
          <w:rFonts w:ascii="Times New Roman" w:hAnsi="Times New Roman" w:cs="Times New Roman"/>
        </w:rPr>
        <w:t xml:space="preserve">he extent of supervision by the Court of the restructuring process and the simplified liquidation process is not currently provided for in the Bill.  It is to be left to regulation which have not been published.  It may hamper the purpose of the Bill to </w:t>
      </w:r>
      <w:r w:rsidRPr="00D077AA">
        <w:rPr>
          <w:rFonts w:ascii="Times New Roman" w:hAnsi="Times New Roman" w:cs="Times New Roman"/>
        </w:rPr>
        <w:t>freely p</w:t>
      </w:r>
      <w:r w:rsidR="009664F3" w:rsidRPr="00D077AA">
        <w:rPr>
          <w:rFonts w:ascii="Times New Roman" w:hAnsi="Times New Roman" w:cs="Times New Roman"/>
        </w:rPr>
        <w:t xml:space="preserve">ermit a wide range of applications to the Court, as to do so would add to the uncertainty of the process and its cost.  It is difficult to be proscriptive about what sort of applications should be excluded.  Instead a better approach may be to allow the Court a wide power to intervene in a restructuring process where it is just and equitable to do so, but to </w:t>
      </w:r>
      <w:r w:rsidR="008B759C">
        <w:rPr>
          <w:rFonts w:ascii="Times New Roman" w:hAnsi="Times New Roman" w:cs="Times New Roman"/>
        </w:rPr>
        <w:t xml:space="preserve">set </w:t>
      </w:r>
      <w:r w:rsidR="009664F3" w:rsidRPr="00D077AA">
        <w:rPr>
          <w:rFonts w:ascii="Times New Roman" w:hAnsi="Times New Roman" w:cs="Times New Roman"/>
        </w:rPr>
        <w:t xml:space="preserve">a range of discretionary matters that the Court should take into account before intervening.    Those factors would reflect the purpose of the Part:  for example, </w:t>
      </w:r>
      <w:r w:rsidR="001A1409" w:rsidRPr="00D077AA">
        <w:rPr>
          <w:rFonts w:ascii="Times New Roman" w:hAnsi="Times New Roman" w:cs="Times New Roman"/>
        </w:rPr>
        <w:t xml:space="preserve">cost, return to creditors, time to conclude the restructuring plan, likely success of the restructuring plan, survival of the business of the company, presence of fraud etc.  </w:t>
      </w:r>
      <w:r w:rsidR="00F107A7" w:rsidRPr="00D077AA">
        <w:rPr>
          <w:rFonts w:ascii="Times New Roman" w:hAnsi="Times New Roman" w:cs="Times New Roman"/>
        </w:rPr>
        <w:t>It would also be sensible to require applications to be dealt with expeditiously and perhaps to devise some amendments to the un</w:t>
      </w:r>
      <w:r w:rsidRPr="00D077AA">
        <w:rPr>
          <w:rFonts w:ascii="Times New Roman" w:hAnsi="Times New Roman" w:cs="Times New Roman"/>
        </w:rPr>
        <w:t>i</w:t>
      </w:r>
      <w:r w:rsidR="00F107A7" w:rsidRPr="00D077AA">
        <w:rPr>
          <w:rFonts w:ascii="Times New Roman" w:hAnsi="Times New Roman" w:cs="Times New Roman"/>
        </w:rPr>
        <w:t xml:space="preserve">form </w:t>
      </w:r>
      <w:proofErr w:type="gramStart"/>
      <w:r w:rsidRPr="00D077AA">
        <w:rPr>
          <w:rFonts w:ascii="Times New Roman" w:hAnsi="Times New Roman" w:cs="Times New Roman"/>
        </w:rPr>
        <w:t>corporations</w:t>
      </w:r>
      <w:proofErr w:type="gramEnd"/>
      <w:r w:rsidR="00F107A7" w:rsidRPr="00D077AA">
        <w:rPr>
          <w:rFonts w:ascii="Times New Roman" w:hAnsi="Times New Roman" w:cs="Times New Roman"/>
        </w:rPr>
        <w:t xml:space="preserve"> rules for observance by the Courts to facilitate it.  </w:t>
      </w:r>
    </w:p>
    <w:p w14:paraId="557046A0" w14:textId="77777777" w:rsidR="00F107A7" w:rsidRPr="001A1409" w:rsidRDefault="00F107A7" w:rsidP="00D077AA">
      <w:pPr>
        <w:pStyle w:val="ListParagraph"/>
        <w:spacing w:line="360" w:lineRule="auto"/>
        <w:ind w:left="360"/>
        <w:rPr>
          <w:rFonts w:ascii="Times New Roman" w:hAnsi="Times New Roman" w:cs="Times New Roman"/>
        </w:rPr>
      </w:pPr>
    </w:p>
    <w:p w14:paraId="77B0DD87" w14:textId="494BDEAC" w:rsidR="001A1409" w:rsidRDefault="001A1409" w:rsidP="00D077AA">
      <w:pPr>
        <w:pStyle w:val="ListParagraph"/>
        <w:numPr>
          <w:ilvl w:val="0"/>
          <w:numId w:val="1"/>
        </w:numPr>
        <w:spacing w:line="360" w:lineRule="auto"/>
        <w:rPr>
          <w:rFonts w:ascii="Times New Roman" w:hAnsi="Times New Roman" w:cs="Times New Roman"/>
        </w:rPr>
      </w:pPr>
      <w:r w:rsidRPr="001A1409">
        <w:rPr>
          <w:rFonts w:ascii="Times New Roman" w:hAnsi="Times New Roman" w:cs="Times New Roman"/>
        </w:rPr>
        <w:t xml:space="preserve">The Bill does not currently provide for the </w:t>
      </w:r>
      <w:r w:rsidRPr="00D077AA">
        <w:rPr>
          <w:rFonts w:ascii="Times New Roman" w:hAnsi="Times New Roman" w:cs="Times New Roman"/>
          <w:b/>
          <w:bCs/>
        </w:rPr>
        <w:t>transition of an unsuccessful restructuring process, or failed restructuring plan</w:t>
      </w:r>
      <w:r w:rsidRPr="001A1409">
        <w:rPr>
          <w:rFonts w:ascii="Times New Roman" w:hAnsi="Times New Roman" w:cs="Times New Roman"/>
        </w:rPr>
        <w:t>, to another form of insolvency.</w:t>
      </w:r>
      <w:r>
        <w:rPr>
          <w:rFonts w:ascii="Times New Roman" w:hAnsi="Times New Roman" w:cs="Times New Roman"/>
        </w:rPr>
        <w:t xml:space="preserve">  If the proposed restructuring plan is rejected, the creditors ought to have an option that the company be wound up as a creditor’s voluntary liquidation, either on the ordinary or simplified basis.  </w:t>
      </w:r>
      <w:r w:rsidRPr="00D077AA">
        <w:rPr>
          <w:rFonts w:ascii="Times New Roman" w:hAnsi="Times New Roman" w:cs="Times New Roman"/>
          <w:b/>
          <w:bCs/>
        </w:rPr>
        <w:t>There ought not be an option for the company to continue to trade</w:t>
      </w:r>
      <w:r>
        <w:rPr>
          <w:rFonts w:ascii="Times New Roman" w:hAnsi="Times New Roman" w:cs="Times New Roman"/>
        </w:rPr>
        <w:t xml:space="preserve">.  </w:t>
      </w:r>
      <w:r w:rsidRPr="00D077AA">
        <w:rPr>
          <w:rFonts w:ascii="Times New Roman" w:hAnsi="Times New Roman" w:cs="Times New Roman"/>
          <w:b/>
          <w:bCs/>
        </w:rPr>
        <w:t>There does not seem to be any utility in converting to a voluntary administration where there is a simple rejection of a compromise restructuring plan</w:t>
      </w:r>
      <w:r>
        <w:rPr>
          <w:rFonts w:ascii="Times New Roman" w:hAnsi="Times New Roman" w:cs="Times New Roman"/>
        </w:rPr>
        <w:t>.   If a subsequent liquidator believes a voluntary administration is warranted, that liquidator would be able to make an appointment</w:t>
      </w:r>
      <w:r w:rsidR="00BA5602">
        <w:rPr>
          <w:rFonts w:ascii="Times New Roman" w:hAnsi="Times New Roman" w:cs="Times New Roman"/>
        </w:rPr>
        <w:t xml:space="preserve"> u</w:t>
      </w:r>
      <w:r>
        <w:rPr>
          <w:rFonts w:ascii="Times New Roman" w:hAnsi="Times New Roman" w:cs="Times New Roman"/>
        </w:rPr>
        <w:t xml:space="preserve">nder s 436B. </w:t>
      </w:r>
    </w:p>
    <w:p w14:paraId="7A05ABBD" w14:textId="77777777" w:rsidR="00D077AA" w:rsidRDefault="00D077AA" w:rsidP="00D077AA">
      <w:pPr>
        <w:pStyle w:val="ListParagraph"/>
        <w:spacing w:line="360" w:lineRule="auto"/>
        <w:ind w:left="360"/>
        <w:rPr>
          <w:rFonts w:ascii="Times New Roman" w:hAnsi="Times New Roman" w:cs="Times New Roman"/>
        </w:rPr>
      </w:pPr>
    </w:p>
    <w:p w14:paraId="266CCA8D" w14:textId="05E33F72" w:rsidR="001A1409" w:rsidRDefault="001A1409" w:rsidP="00D077AA">
      <w:pPr>
        <w:pStyle w:val="ListParagraph"/>
        <w:numPr>
          <w:ilvl w:val="0"/>
          <w:numId w:val="1"/>
        </w:numPr>
        <w:spacing w:line="360" w:lineRule="auto"/>
        <w:rPr>
          <w:rFonts w:ascii="Times New Roman" w:hAnsi="Times New Roman" w:cs="Times New Roman"/>
        </w:rPr>
      </w:pPr>
      <w:r>
        <w:rPr>
          <w:rFonts w:ascii="Times New Roman" w:hAnsi="Times New Roman" w:cs="Times New Roman"/>
        </w:rPr>
        <w:t>The Bill does not currently provide for</w:t>
      </w:r>
      <w:r w:rsidRPr="00D077AA">
        <w:rPr>
          <w:rFonts w:ascii="Times New Roman" w:hAnsi="Times New Roman" w:cs="Times New Roman"/>
          <w:b/>
          <w:bCs/>
        </w:rPr>
        <w:t xml:space="preserve"> reporting obligations in the restructuring period</w:t>
      </w:r>
      <w:r>
        <w:rPr>
          <w:rFonts w:ascii="Times New Roman" w:hAnsi="Times New Roman" w:cs="Times New Roman"/>
        </w:rPr>
        <w:t>, other than to allow future regulation</w:t>
      </w:r>
      <w:r w:rsidR="003410EA">
        <w:rPr>
          <w:rFonts w:ascii="Times New Roman" w:hAnsi="Times New Roman" w:cs="Times New Roman"/>
        </w:rPr>
        <w:t xml:space="preserve"> (see Part 1 </w:t>
      </w:r>
      <w:proofErr w:type="spellStart"/>
      <w:r w:rsidR="003410EA">
        <w:rPr>
          <w:rFonts w:ascii="Times New Roman" w:hAnsi="Times New Roman" w:cs="Times New Roman"/>
        </w:rPr>
        <w:t>Div</w:t>
      </w:r>
      <w:proofErr w:type="spellEnd"/>
      <w:r w:rsidR="003410EA">
        <w:rPr>
          <w:rFonts w:ascii="Times New Roman" w:hAnsi="Times New Roman" w:cs="Times New Roman"/>
        </w:rPr>
        <w:t xml:space="preserve"> 5)</w:t>
      </w:r>
      <w:r>
        <w:rPr>
          <w:rFonts w:ascii="Times New Roman" w:hAnsi="Times New Roman" w:cs="Times New Roman"/>
        </w:rPr>
        <w:t xml:space="preserve">.  Again, like Court supervision, it is a balancing exercise between cost </w:t>
      </w:r>
      <w:r w:rsidR="003410EA">
        <w:rPr>
          <w:rFonts w:ascii="Times New Roman" w:hAnsi="Times New Roman" w:cs="Times New Roman"/>
        </w:rPr>
        <w:t xml:space="preserve">of compliance and protection of creditors and the public.  In my view restructuring practitioners </w:t>
      </w:r>
      <w:r w:rsidR="003410EA" w:rsidRPr="008B759C">
        <w:rPr>
          <w:rFonts w:ascii="Times New Roman" w:hAnsi="Times New Roman" w:cs="Times New Roman"/>
          <w:b/>
          <w:bCs/>
        </w:rPr>
        <w:t>ought to have the same powers at least as a voluntary administrator to</w:t>
      </w:r>
      <w:r w:rsidR="003410EA" w:rsidRPr="008B759C">
        <w:rPr>
          <w:rFonts w:ascii="Times New Roman" w:hAnsi="Times New Roman" w:cs="Times New Roman"/>
          <w:b/>
          <w:bCs/>
          <w:u w:val="single"/>
        </w:rPr>
        <w:t xml:space="preserve"> access</w:t>
      </w:r>
      <w:r w:rsidR="003410EA" w:rsidRPr="008B759C">
        <w:rPr>
          <w:rFonts w:ascii="Times New Roman" w:hAnsi="Times New Roman" w:cs="Times New Roman"/>
          <w:b/>
          <w:bCs/>
        </w:rPr>
        <w:t xml:space="preserve"> and copy documents</w:t>
      </w:r>
      <w:r w:rsidR="003410EA">
        <w:rPr>
          <w:rFonts w:ascii="Times New Roman" w:hAnsi="Times New Roman" w:cs="Times New Roman"/>
        </w:rPr>
        <w:t xml:space="preserve">, save for the power to take possession of them since the debtor company remains in control. </w:t>
      </w:r>
      <w:r>
        <w:rPr>
          <w:rFonts w:ascii="Times New Roman" w:hAnsi="Times New Roman" w:cs="Times New Roman"/>
        </w:rPr>
        <w:t xml:space="preserve">  </w:t>
      </w:r>
      <w:r w:rsidR="003410EA">
        <w:rPr>
          <w:rFonts w:ascii="Times New Roman" w:hAnsi="Times New Roman" w:cs="Times New Roman"/>
        </w:rPr>
        <w:lastRenderedPageBreak/>
        <w:t xml:space="preserve">Otherwise creditors will have little confidence that there is independent oversight and verification of the contents of any restructuring plan.  </w:t>
      </w:r>
      <w:r w:rsidR="003410EA" w:rsidRPr="008B759C">
        <w:rPr>
          <w:rFonts w:ascii="Times New Roman" w:hAnsi="Times New Roman" w:cs="Times New Roman"/>
          <w:b/>
          <w:bCs/>
        </w:rPr>
        <w:t>Further, the restructuring practitioner must have some independent reporting obligation to creditors to give their view of the proposed restructuring plan, and a fulsome statement of their reasons for that view</w:t>
      </w:r>
      <w:r w:rsidR="003410EA">
        <w:rPr>
          <w:rFonts w:ascii="Times New Roman" w:hAnsi="Times New Roman" w:cs="Times New Roman"/>
        </w:rPr>
        <w:t xml:space="preserve">.  Whilst the obligations to report might not be as extensive as a report to creditors at the decision meeting in voluntary administration, the fact that the eligible companies are small should mean that a report evaluating the proposal by reference to the company’s records and the restructuring practitioner’s evaluation of financial position and prospects ought still be possible without excessive cost. If the report is not substantive and independent, creditors will be less likely to buy in. </w:t>
      </w:r>
    </w:p>
    <w:p w14:paraId="091911FE" w14:textId="5B93DE3D" w:rsidR="003410EA" w:rsidRDefault="003410EA" w:rsidP="00D077AA">
      <w:pPr>
        <w:pStyle w:val="ListParagraph"/>
        <w:spacing w:line="360" w:lineRule="auto"/>
        <w:ind w:left="360"/>
        <w:rPr>
          <w:rFonts w:ascii="Times New Roman" w:hAnsi="Times New Roman" w:cs="Times New Roman"/>
        </w:rPr>
      </w:pPr>
      <w:r>
        <w:rPr>
          <w:rFonts w:ascii="Times New Roman" w:hAnsi="Times New Roman" w:cs="Times New Roman"/>
        </w:rPr>
        <w:t xml:space="preserve"> </w:t>
      </w:r>
    </w:p>
    <w:p w14:paraId="52C1B1DC" w14:textId="6B392194" w:rsidR="003410EA" w:rsidRDefault="00D077AA" w:rsidP="00D077AA">
      <w:pPr>
        <w:pStyle w:val="ListParagraph"/>
        <w:numPr>
          <w:ilvl w:val="0"/>
          <w:numId w:val="1"/>
        </w:numPr>
        <w:spacing w:line="360" w:lineRule="auto"/>
        <w:rPr>
          <w:rFonts w:ascii="Times New Roman" w:hAnsi="Times New Roman" w:cs="Times New Roman"/>
        </w:rPr>
      </w:pPr>
      <w:r>
        <w:rPr>
          <w:rFonts w:ascii="Times New Roman" w:hAnsi="Times New Roman" w:cs="Times New Roman"/>
          <w:b/>
          <w:bCs/>
        </w:rPr>
        <w:t xml:space="preserve">Scrap entitlements and tax </w:t>
      </w:r>
      <w:proofErr w:type="spellStart"/>
      <w:r>
        <w:rPr>
          <w:rFonts w:ascii="Times New Roman" w:hAnsi="Times New Roman" w:cs="Times New Roman"/>
          <w:b/>
          <w:bCs/>
        </w:rPr>
        <w:t>lodgment</w:t>
      </w:r>
      <w:proofErr w:type="spellEnd"/>
      <w:r>
        <w:rPr>
          <w:rFonts w:ascii="Times New Roman" w:hAnsi="Times New Roman" w:cs="Times New Roman"/>
          <w:b/>
          <w:bCs/>
        </w:rPr>
        <w:t xml:space="preserve"> requirements </w:t>
      </w:r>
      <w:r w:rsidR="003410EA">
        <w:rPr>
          <w:rFonts w:ascii="Times New Roman" w:hAnsi="Times New Roman" w:cs="Times New Roman"/>
        </w:rPr>
        <w:t xml:space="preserve">The Bill requires all employee entitlements to be paid before it can be used.  In my view this requirement ought to be scrapped.  If the Bill is intended to deal with victims of the pandemic, how many of them will be in a position to make these payments?  </w:t>
      </w:r>
      <w:r w:rsidR="00DE095E">
        <w:rPr>
          <w:rFonts w:ascii="Times New Roman" w:hAnsi="Times New Roman" w:cs="Times New Roman"/>
        </w:rPr>
        <w:t xml:space="preserve">Some sure, but many will not.  It seems to me to be a device to prefer the entitlements guarantee fund. </w:t>
      </w:r>
      <w:r w:rsidR="003410EA">
        <w:rPr>
          <w:rFonts w:ascii="Times New Roman" w:hAnsi="Times New Roman" w:cs="Times New Roman"/>
        </w:rPr>
        <w:t xml:space="preserve"> </w:t>
      </w:r>
      <w:r w:rsidR="00DE095E">
        <w:rPr>
          <w:rFonts w:ascii="Times New Roman" w:hAnsi="Times New Roman" w:cs="Times New Roman"/>
        </w:rPr>
        <w:t xml:space="preserve">Similarly, the requirement to have ATO lodgements up to date ought </w:t>
      </w:r>
      <w:proofErr w:type="gramStart"/>
      <w:r w:rsidR="00DE095E">
        <w:rPr>
          <w:rFonts w:ascii="Times New Roman" w:hAnsi="Times New Roman" w:cs="Times New Roman"/>
        </w:rPr>
        <w:t>be</w:t>
      </w:r>
      <w:proofErr w:type="gramEnd"/>
      <w:r w:rsidR="00DE095E">
        <w:rPr>
          <w:rFonts w:ascii="Times New Roman" w:hAnsi="Times New Roman" w:cs="Times New Roman"/>
        </w:rPr>
        <w:t xml:space="preserve"> scrapped- it is a unnecessary barrier. If the government wishes to protect employee entitlements or the revenue, then there are other methods available which are more efficient.  What </w:t>
      </w:r>
      <w:r w:rsidR="00BA5602">
        <w:rPr>
          <w:rFonts w:ascii="Times New Roman" w:hAnsi="Times New Roman" w:cs="Times New Roman"/>
        </w:rPr>
        <w:t>may</w:t>
      </w:r>
      <w:r w:rsidR="00DE095E">
        <w:rPr>
          <w:rFonts w:ascii="Times New Roman" w:hAnsi="Times New Roman" w:cs="Times New Roman"/>
        </w:rPr>
        <w:t xml:space="preserve"> end up happening is that truly destitute companies that need to access the process, but cannot meet these requirements, will be forced into voluntary administration or liquidation instead.  </w:t>
      </w:r>
    </w:p>
    <w:p w14:paraId="768726A4" w14:textId="77777777" w:rsidR="00DE095E" w:rsidRPr="00DE095E" w:rsidRDefault="00DE095E" w:rsidP="00D077AA">
      <w:pPr>
        <w:pStyle w:val="ListParagraph"/>
        <w:spacing w:line="360" w:lineRule="auto"/>
        <w:rPr>
          <w:rFonts w:ascii="Times New Roman" w:hAnsi="Times New Roman" w:cs="Times New Roman"/>
        </w:rPr>
      </w:pPr>
    </w:p>
    <w:p w14:paraId="2DF11C4B" w14:textId="5B087ACE" w:rsidR="00DE095E" w:rsidRDefault="00D077AA" w:rsidP="00D077AA">
      <w:pPr>
        <w:pStyle w:val="ListParagraph"/>
        <w:numPr>
          <w:ilvl w:val="0"/>
          <w:numId w:val="1"/>
        </w:numPr>
        <w:spacing w:line="360" w:lineRule="auto"/>
        <w:rPr>
          <w:rFonts w:ascii="Times New Roman" w:hAnsi="Times New Roman" w:cs="Times New Roman"/>
        </w:rPr>
      </w:pPr>
      <w:r>
        <w:rPr>
          <w:rFonts w:ascii="Times New Roman" w:hAnsi="Times New Roman" w:cs="Times New Roman"/>
          <w:b/>
          <w:bCs/>
        </w:rPr>
        <w:t xml:space="preserve">Use a naming convention once a restructuring plan is passed.  </w:t>
      </w:r>
      <w:r w:rsidR="00DE095E">
        <w:rPr>
          <w:rFonts w:ascii="Times New Roman" w:hAnsi="Times New Roman" w:cs="Times New Roman"/>
        </w:rPr>
        <w:t xml:space="preserve">Is it intended for companies that have a restructuring plan accepted to have the words (subject to restructuring plan) added to their company name during the period of the plan?  It seems to me that they should.  </w:t>
      </w:r>
    </w:p>
    <w:p w14:paraId="07C2E28F" w14:textId="77777777" w:rsidR="00BA5602" w:rsidRPr="00BA5602" w:rsidRDefault="00BA5602" w:rsidP="00D077AA">
      <w:pPr>
        <w:pStyle w:val="ListParagraph"/>
        <w:spacing w:line="360" w:lineRule="auto"/>
        <w:rPr>
          <w:rFonts w:ascii="Times New Roman" w:hAnsi="Times New Roman" w:cs="Times New Roman"/>
        </w:rPr>
      </w:pPr>
    </w:p>
    <w:p w14:paraId="62E8604A" w14:textId="2E4280BA" w:rsidR="00BA5602" w:rsidRDefault="00D077AA" w:rsidP="00D077AA">
      <w:pPr>
        <w:pStyle w:val="ListParagraph"/>
        <w:numPr>
          <w:ilvl w:val="0"/>
          <w:numId w:val="1"/>
        </w:numPr>
        <w:spacing w:line="360" w:lineRule="auto"/>
        <w:rPr>
          <w:rFonts w:ascii="Times New Roman" w:hAnsi="Times New Roman" w:cs="Times New Roman"/>
        </w:rPr>
      </w:pPr>
      <w:r>
        <w:rPr>
          <w:rFonts w:ascii="Times New Roman" w:hAnsi="Times New Roman" w:cs="Times New Roman"/>
          <w:b/>
          <w:bCs/>
        </w:rPr>
        <w:t xml:space="preserve">Delay the passage of the Bill to work on it more thoroughly.  </w:t>
      </w:r>
      <w:r w:rsidR="00BA5602">
        <w:rPr>
          <w:rFonts w:ascii="Times New Roman" w:hAnsi="Times New Roman" w:cs="Times New Roman"/>
        </w:rPr>
        <w:t xml:space="preserve">The commencement of the Bill ought to be delayed in my view, to 1 March 2021.  The time is necessary to allow proper development of the Bill and the policy behind it.   It would still be possible to allow Companies to indicate an intention to activate the process </w:t>
      </w:r>
      <w:r w:rsidR="0044449D">
        <w:rPr>
          <w:rFonts w:ascii="Times New Roman" w:hAnsi="Times New Roman" w:cs="Times New Roman"/>
        </w:rPr>
        <w:t xml:space="preserve">from 1 January 2021 </w:t>
      </w:r>
      <w:r w:rsidR="00BA5602">
        <w:rPr>
          <w:rFonts w:ascii="Times New Roman" w:hAnsi="Times New Roman" w:cs="Times New Roman"/>
        </w:rPr>
        <w:t xml:space="preserve">as is currently intended.  As I understand it elements of the Bill have been borrowed from ARITA who is largely supportive of the overall policy idea.  Consultation with ARITA in </w:t>
      </w:r>
      <w:r w:rsidR="00BA5602">
        <w:rPr>
          <w:rFonts w:ascii="Times New Roman" w:hAnsi="Times New Roman" w:cs="Times New Roman"/>
        </w:rPr>
        <w:lastRenderedPageBreak/>
        <w:t>particular</w:t>
      </w:r>
      <w:r w:rsidR="0044449D">
        <w:rPr>
          <w:rFonts w:ascii="Times New Roman" w:hAnsi="Times New Roman" w:cs="Times New Roman"/>
        </w:rPr>
        <w:t xml:space="preserve">, and others, </w:t>
      </w:r>
      <w:r w:rsidR="00BA5602">
        <w:rPr>
          <w:rFonts w:ascii="Times New Roman" w:hAnsi="Times New Roman" w:cs="Times New Roman"/>
        </w:rPr>
        <w:t xml:space="preserve">should be made as to the practical need for some elements of the Bill and refinement of the drafting. </w:t>
      </w:r>
    </w:p>
    <w:p w14:paraId="07B94E0F" w14:textId="458F3F6E" w:rsidR="00BA5602" w:rsidRDefault="00BA5602" w:rsidP="00D077AA">
      <w:pPr>
        <w:spacing w:line="360" w:lineRule="auto"/>
        <w:rPr>
          <w:rFonts w:ascii="Times New Roman" w:hAnsi="Times New Roman" w:cs="Times New Roman"/>
        </w:rPr>
      </w:pPr>
    </w:p>
    <w:p w14:paraId="23814397" w14:textId="310ACF86" w:rsidR="00BA5602" w:rsidRDefault="00BA5602" w:rsidP="00D077AA">
      <w:pPr>
        <w:spacing w:line="360" w:lineRule="auto"/>
        <w:rPr>
          <w:rFonts w:ascii="Times New Roman" w:hAnsi="Times New Roman" w:cs="Times New Roman"/>
        </w:rPr>
      </w:pPr>
    </w:p>
    <w:p w14:paraId="06C80F17" w14:textId="68845810" w:rsidR="00BA5602" w:rsidRDefault="00BA5602" w:rsidP="00D077AA">
      <w:pPr>
        <w:spacing w:line="360" w:lineRule="auto"/>
        <w:rPr>
          <w:rFonts w:ascii="Times New Roman" w:hAnsi="Times New Roman" w:cs="Times New Roman"/>
        </w:rPr>
      </w:pPr>
      <w:r>
        <w:rPr>
          <w:rFonts w:ascii="Times New Roman" w:hAnsi="Times New Roman" w:cs="Times New Roman"/>
        </w:rPr>
        <w:t>Date:  12 October 2020</w:t>
      </w:r>
    </w:p>
    <w:p w14:paraId="38333DB9" w14:textId="20D3A8DE" w:rsidR="00BA5602" w:rsidRDefault="00BA5602" w:rsidP="00D077AA">
      <w:pPr>
        <w:spacing w:line="360" w:lineRule="auto"/>
        <w:rPr>
          <w:rFonts w:ascii="Times New Roman" w:hAnsi="Times New Roman" w:cs="Times New Roman"/>
        </w:rPr>
      </w:pPr>
    </w:p>
    <w:p w14:paraId="73020B23" w14:textId="30722A4A" w:rsidR="00BA5602" w:rsidRDefault="00BA5602" w:rsidP="00D077AA">
      <w:pPr>
        <w:spacing w:line="360" w:lineRule="auto"/>
        <w:rPr>
          <w:rFonts w:ascii="Times New Roman" w:hAnsi="Times New Roman" w:cs="Times New Roman"/>
        </w:rPr>
      </w:pPr>
    </w:p>
    <w:p w14:paraId="26CD1401" w14:textId="612DBD0C" w:rsidR="00BA5602" w:rsidRDefault="00BA5602" w:rsidP="00D077AA">
      <w:pPr>
        <w:spacing w:line="360" w:lineRule="auto"/>
        <w:jc w:val="right"/>
        <w:rPr>
          <w:rFonts w:ascii="Times New Roman" w:hAnsi="Times New Roman" w:cs="Times New Roman"/>
        </w:rPr>
      </w:pPr>
      <w:r>
        <w:rPr>
          <w:rFonts w:ascii="Times New Roman" w:hAnsi="Times New Roman" w:cs="Times New Roman"/>
        </w:rPr>
        <w:t>Mark McKillop</w:t>
      </w:r>
    </w:p>
    <w:p w14:paraId="32BA71BE" w14:textId="38D2F64D" w:rsidR="00BA5602" w:rsidRDefault="00BA5602" w:rsidP="00D077AA">
      <w:pPr>
        <w:spacing w:line="360" w:lineRule="auto"/>
        <w:jc w:val="right"/>
        <w:rPr>
          <w:rFonts w:ascii="Times New Roman" w:hAnsi="Times New Roman" w:cs="Times New Roman"/>
        </w:rPr>
      </w:pPr>
      <w:proofErr w:type="spellStart"/>
      <w:r>
        <w:rPr>
          <w:rFonts w:ascii="Times New Roman" w:hAnsi="Times New Roman" w:cs="Times New Roman"/>
        </w:rPr>
        <w:t>Castan</w:t>
      </w:r>
      <w:proofErr w:type="spellEnd"/>
      <w:r>
        <w:rPr>
          <w:rFonts w:ascii="Times New Roman" w:hAnsi="Times New Roman" w:cs="Times New Roman"/>
        </w:rPr>
        <w:t xml:space="preserve"> Chambers</w:t>
      </w:r>
    </w:p>
    <w:p w14:paraId="103FB8D3" w14:textId="27EA896F" w:rsidR="001E4813" w:rsidRPr="00BA5602" w:rsidRDefault="001E4813" w:rsidP="00D077AA">
      <w:pPr>
        <w:spacing w:line="360" w:lineRule="auto"/>
        <w:jc w:val="right"/>
        <w:rPr>
          <w:rFonts w:ascii="Times New Roman" w:hAnsi="Times New Roman" w:cs="Times New Roman"/>
        </w:rPr>
      </w:pPr>
      <w:r>
        <w:rPr>
          <w:rFonts w:ascii="Times New Roman" w:hAnsi="Times New Roman" w:cs="Times New Roman"/>
        </w:rPr>
        <w:t>Melbourne Victoria</w:t>
      </w:r>
    </w:p>
    <w:sectPr w:rsidR="001E4813" w:rsidRPr="00BA5602" w:rsidSect="005C293E">
      <w:footerReference w:type="first" r:id="rId8"/>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2D6194" w14:textId="77777777" w:rsidR="00FC3283" w:rsidRDefault="00FC3283" w:rsidP="005C293E">
      <w:r>
        <w:separator/>
      </w:r>
    </w:p>
  </w:endnote>
  <w:endnote w:type="continuationSeparator" w:id="0">
    <w:p w14:paraId="39BE44A3" w14:textId="77777777" w:rsidR="00FC3283" w:rsidRDefault="00FC3283" w:rsidP="005C2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767F5" w14:textId="77777777" w:rsidR="005C293E" w:rsidRDefault="005C293E" w:rsidP="005C293E">
    <w:pPr>
      <w:jc w:val="right"/>
      <w:rPr>
        <w:rFonts w:ascii="Times New Roman" w:eastAsia="Times New Roman" w:hAnsi="Times New Roman" w:cs="Times New Roman"/>
        <w:lang w:eastAsia="en-GB"/>
      </w:rPr>
    </w:pPr>
  </w:p>
  <w:p w14:paraId="58218CC2" w14:textId="359A03FA" w:rsidR="005C293E" w:rsidRPr="005C293E" w:rsidRDefault="005C293E" w:rsidP="005C293E">
    <w:pPr>
      <w:jc w:val="right"/>
      <w:rPr>
        <w:rFonts w:ascii="Times New Roman" w:eastAsia="Times New Roman" w:hAnsi="Times New Roman" w:cs="Times New Roman"/>
        <w:sz w:val="18"/>
        <w:szCs w:val="18"/>
        <w:lang w:eastAsia="en-GB"/>
      </w:rPr>
    </w:pPr>
    <w:r w:rsidRPr="005C293E">
      <w:rPr>
        <w:rFonts w:ascii="Times New Roman" w:eastAsia="Times New Roman" w:hAnsi="Times New Roman" w:cs="Times New Roman"/>
        <w:sz w:val="18"/>
        <w:szCs w:val="18"/>
        <w:lang w:eastAsia="en-GB"/>
      </w:rPr>
      <w:t>*</w:t>
    </w:r>
    <w:r w:rsidRPr="005C293E">
      <w:rPr>
        <w:rFonts w:ascii="Times New Roman" w:eastAsia="Times New Roman" w:hAnsi="Times New Roman" w:cs="Times New Roman"/>
        <w:sz w:val="18"/>
        <w:szCs w:val="18"/>
        <w:lang w:eastAsia="en-GB"/>
      </w:rPr>
      <w:t>Contact Details:</w:t>
    </w:r>
  </w:p>
  <w:p w14:paraId="1A21E2B1" w14:textId="77777777" w:rsidR="005C293E" w:rsidRPr="005C293E" w:rsidRDefault="005C293E" w:rsidP="005C293E">
    <w:pPr>
      <w:jc w:val="right"/>
      <w:rPr>
        <w:rFonts w:ascii="Times New Roman" w:hAnsi="Times New Roman" w:cs="Times New Roman"/>
        <w:b/>
        <w:bCs/>
        <w:i/>
        <w:iCs/>
        <w:color w:val="393520"/>
        <w:sz w:val="18"/>
        <w:szCs w:val="18"/>
      </w:rPr>
    </w:pPr>
  </w:p>
  <w:p w14:paraId="21026F94" w14:textId="77777777" w:rsidR="005C293E" w:rsidRPr="005C293E" w:rsidRDefault="005C293E" w:rsidP="005C293E">
    <w:pPr>
      <w:jc w:val="right"/>
      <w:rPr>
        <w:rFonts w:ascii="Times New Roman" w:hAnsi="Times New Roman" w:cs="Times New Roman"/>
        <w:b/>
        <w:bCs/>
        <w:i/>
        <w:iCs/>
        <w:color w:val="393520"/>
        <w:sz w:val="18"/>
        <w:szCs w:val="18"/>
      </w:rPr>
    </w:pPr>
    <w:proofErr w:type="spellStart"/>
    <w:r w:rsidRPr="005C293E">
      <w:rPr>
        <w:rFonts w:ascii="Times New Roman" w:hAnsi="Times New Roman" w:cs="Times New Roman"/>
        <w:b/>
        <w:bCs/>
        <w:i/>
        <w:iCs/>
        <w:color w:val="393520"/>
        <w:sz w:val="18"/>
        <w:szCs w:val="18"/>
      </w:rPr>
      <w:t>Castan</w:t>
    </w:r>
    <w:proofErr w:type="spellEnd"/>
    <w:r w:rsidRPr="005C293E">
      <w:rPr>
        <w:rFonts w:ascii="Times New Roman" w:hAnsi="Times New Roman" w:cs="Times New Roman"/>
        <w:b/>
        <w:bCs/>
        <w:i/>
        <w:iCs/>
        <w:color w:val="393520"/>
        <w:sz w:val="18"/>
        <w:szCs w:val="18"/>
      </w:rPr>
      <w:t xml:space="preserve"> Chambers</w:t>
    </w:r>
  </w:p>
  <w:p w14:paraId="757F3AFB" w14:textId="77777777" w:rsidR="005C293E" w:rsidRPr="005C293E" w:rsidRDefault="005C293E" w:rsidP="005C293E">
    <w:pPr>
      <w:jc w:val="right"/>
      <w:rPr>
        <w:rFonts w:ascii="Times New Roman" w:hAnsi="Times New Roman" w:cs="Times New Roman"/>
        <w:b/>
        <w:bCs/>
        <w:i/>
        <w:iCs/>
        <w:color w:val="393520"/>
        <w:sz w:val="18"/>
        <w:szCs w:val="18"/>
      </w:rPr>
    </w:pPr>
  </w:p>
  <w:p w14:paraId="2D06B48F" w14:textId="77777777" w:rsidR="005C293E" w:rsidRPr="005C293E" w:rsidRDefault="005C293E" w:rsidP="005C293E">
    <w:pPr>
      <w:jc w:val="right"/>
      <w:rPr>
        <w:rFonts w:ascii="Times New Roman" w:hAnsi="Times New Roman" w:cs="Times New Roman"/>
        <w:i/>
        <w:iCs/>
        <w:color w:val="000000"/>
        <w:sz w:val="18"/>
        <w:szCs w:val="18"/>
      </w:rPr>
    </w:pPr>
    <w:r w:rsidRPr="005C293E">
      <w:rPr>
        <w:rFonts w:ascii="Times New Roman" w:hAnsi="Times New Roman" w:cs="Times New Roman"/>
        <w:i/>
        <w:iCs/>
        <w:color w:val="393520"/>
        <w:sz w:val="18"/>
        <w:szCs w:val="18"/>
      </w:rPr>
      <w:t>Room 1409, 460 Lonsdale Street, Melbourne, Vic 3000</w:t>
    </w:r>
  </w:p>
  <w:p w14:paraId="754991B6" w14:textId="77777777" w:rsidR="005C293E" w:rsidRPr="005C293E" w:rsidRDefault="005C293E" w:rsidP="005C293E">
    <w:pPr>
      <w:jc w:val="right"/>
      <w:rPr>
        <w:rFonts w:ascii="Times New Roman" w:hAnsi="Times New Roman" w:cs="Times New Roman"/>
        <w:b/>
        <w:bCs/>
        <w:i/>
        <w:iCs/>
        <w:color w:val="393520"/>
        <w:sz w:val="18"/>
        <w:szCs w:val="18"/>
      </w:rPr>
    </w:pPr>
  </w:p>
  <w:p w14:paraId="2267E310" w14:textId="77777777" w:rsidR="005C293E" w:rsidRPr="005C293E" w:rsidRDefault="005C293E" w:rsidP="005C293E">
    <w:pPr>
      <w:jc w:val="right"/>
      <w:rPr>
        <w:rFonts w:ascii="Times New Roman" w:hAnsi="Times New Roman" w:cs="Times New Roman"/>
        <w:i/>
        <w:iCs/>
        <w:color w:val="000000"/>
        <w:sz w:val="18"/>
        <w:szCs w:val="18"/>
      </w:rPr>
    </w:pPr>
    <w:r w:rsidRPr="005C293E">
      <w:rPr>
        <w:rFonts w:ascii="Times New Roman" w:hAnsi="Times New Roman" w:cs="Times New Roman"/>
        <w:b/>
        <w:bCs/>
        <w:i/>
        <w:iCs/>
        <w:color w:val="393520"/>
        <w:sz w:val="18"/>
        <w:szCs w:val="18"/>
      </w:rPr>
      <w:t>T</w:t>
    </w:r>
    <w:r w:rsidRPr="005C293E">
      <w:rPr>
        <w:rFonts w:ascii="Times New Roman" w:hAnsi="Times New Roman" w:cs="Times New Roman"/>
        <w:i/>
        <w:iCs/>
        <w:color w:val="393520"/>
        <w:sz w:val="18"/>
        <w:szCs w:val="18"/>
      </w:rPr>
      <w:t> +613 9225 7592 |</w:t>
    </w:r>
    <w:r w:rsidRPr="005C293E">
      <w:rPr>
        <w:rFonts w:ascii="Times New Roman" w:hAnsi="Times New Roman" w:cs="Times New Roman"/>
        <w:b/>
        <w:bCs/>
        <w:i/>
        <w:iCs/>
        <w:color w:val="393520"/>
        <w:sz w:val="18"/>
        <w:szCs w:val="18"/>
      </w:rPr>
      <w:t> M</w:t>
    </w:r>
    <w:r w:rsidRPr="005C293E">
      <w:rPr>
        <w:rFonts w:ascii="Times New Roman" w:hAnsi="Times New Roman" w:cs="Times New Roman"/>
        <w:i/>
        <w:iCs/>
        <w:color w:val="393520"/>
        <w:sz w:val="18"/>
        <w:szCs w:val="18"/>
      </w:rPr>
      <w:t> 0402 891 370</w:t>
    </w:r>
  </w:p>
  <w:p w14:paraId="067E9EAE" w14:textId="77777777" w:rsidR="005C293E" w:rsidRPr="005C293E" w:rsidRDefault="005C293E" w:rsidP="005C293E">
    <w:pPr>
      <w:jc w:val="right"/>
      <w:rPr>
        <w:rFonts w:ascii="Times New Roman" w:hAnsi="Times New Roman" w:cs="Times New Roman"/>
        <w:b/>
        <w:bCs/>
        <w:i/>
        <w:iCs/>
        <w:color w:val="393520"/>
        <w:sz w:val="18"/>
        <w:szCs w:val="18"/>
      </w:rPr>
    </w:pPr>
    <w:r w:rsidRPr="005C293E">
      <w:rPr>
        <w:rFonts w:ascii="Times New Roman" w:hAnsi="Times New Roman" w:cs="Times New Roman"/>
        <w:b/>
        <w:bCs/>
        <w:i/>
        <w:iCs/>
        <w:color w:val="393520"/>
        <w:sz w:val="18"/>
        <w:szCs w:val="18"/>
      </w:rPr>
      <w:t>E</w:t>
    </w:r>
    <w:r w:rsidRPr="005C293E">
      <w:rPr>
        <w:rFonts w:ascii="Times New Roman" w:hAnsi="Times New Roman" w:cs="Times New Roman"/>
        <w:i/>
        <w:iCs/>
        <w:color w:val="393520"/>
        <w:sz w:val="18"/>
        <w:szCs w:val="18"/>
      </w:rPr>
      <w:t> </w:t>
    </w:r>
    <w:hyperlink r:id="rId1" w:tooltip="mailto:mark.mckillop@vicbar.com.au" w:history="1">
      <w:r w:rsidRPr="005C293E">
        <w:rPr>
          <w:rStyle w:val="Hyperlink"/>
          <w:rFonts w:ascii="Times New Roman" w:hAnsi="Times New Roman" w:cs="Times New Roman"/>
          <w:i/>
          <w:iCs/>
          <w:color w:val="800080"/>
          <w:sz w:val="18"/>
          <w:szCs w:val="18"/>
        </w:rPr>
        <w:t>mark.mckillop@vicbar.com.au</w:t>
      </w:r>
    </w:hyperlink>
  </w:p>
  <w:p w14:paraId="429A1FB9" w14:textId="77777777" w:rsidR="005C293E" w:rsidRPr="005C293E" w:rsidRDefault="005C293E" w:rsidP="005C293E">
    <w:pPr>
      <w:jc w:val="right"/>
      <w:rPr>
        <w:rFonts w:ascii="Times New Roman" w:hAnsi="Times New Roman" w:cs="Times New Roman"/>
        <w:i/>
        <w:iCs/>
        <w:color w:val="000000"/>
        <w:sz w:val="18"/>
        <w:szCs w:val="18"/>
      </w:rPr>
    </w:pPr>
    <w:r w:rsidRPr="005C293E">
      <w:rPr>
        <w:rFonts w:ascii="Times New Roman" w:hAnsi="Times New Roman" w:cs="Times New Roman"/>
        <w:b/>
        <w:bCs/>
        <w:i/>
        <w:iCs/>
        <w:color w:val="393520"/>
        <w:sz w:val="18"/>
        <w:szCs w:val="18"/>
      </w:rPr>
      <w:t>WEB</w:t>
    </w:r>
    <w:r w:rsidRPr="005C293E">
      <w:rPr>
        <w:rFonts w:ascii="Times New Roman" w:hAnsi="Times New Roman" w:cs="Times New Roman"/>
        <w:i/>
        <w:iCs/>
        <w:color w:val="393520"/>
        <w:sz w:val="18"/>
        <w:szCs w:val="18"/>
      </w:rPr>
      <w:t>: </w:t>
    </w:r>
    <w:hyperlink r:id="rId2" w:tooltip="https://protect-au.mimecast.com/s/wyIrCJyBPrS1K253FyGQ4z?domain=markmckillopbarrister.wordpress.com/" w:history="1">
      <w:r w:rsidRPr="005C293E">
        <w:rPr>
          <w:rStyle w:val="Hyperlink"/>
          <w:rFonts w:ascii="Times New Roman" w:hAnsi="Times New Roman" w:cs="Times New Roman"/>
          <w:i/>
          <w:iCs/>
          <w:color w:val="800080"/>
          <w:sz w:val="18"/>
          <w:szCs w:val="18"/>
        </w:rPr>
        <w:t>markmckillopbarrister.com</w:t>
      </w:r>
    </w:hyperlink>
  </w:p>
  <w:p w14:paraId="7202E585" w14:textId="77777777" w:rsidR="005C293E" w:rsidRDefault="005C2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84E624" w14:textId="77777777" w:rsidR="00FC3283" w:rsidRDefault="00FC3283" w:rsidP="005C293E">
      <w:r>
        <w:separator/>
      </w:r>
    </w:p>
  </w:footnote>
  <w:footnote w:type="continuationSeparator" w:id="0">
    <w:p w14:paraId="023E9640" w14:textId="77777777" w:rsidR="00FC3283" w:rsidRDefault="00FC3283" w:rsidP="005C29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985B45"/>
    <w:multiLevelType w:val="hybridMultilevel"/>
    <w:tmpl w:val="78746F8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FBD"/>
    <w:rsid w:val="00096BD7"/>
    <w:rsid w:val="001A1409"/>
    <w:rsid w:val="001E4813"/>
    <w:rsid w:val="002F6C38"/>
    <w:rsid w:val="003410EA"/>
    <w:rsid w:val="00346627"/>
    <w:rsid w:val="0044449D"/>
    <w:rsid w:val="005C293E"/>
    <w:rsid w:val="006B1FBD"/>
    <w:rsid w:val="008B759C"/>
    <w:rsid w:val="009664F3"/>
    <w:rsid w:val="00BA5602"/>
    <w:rsid w:val="00D077AA"/>
    <w:rsid w:val="00DE095E"/>
    <w:rsid w:val="00DE2AFA"/>
    <w:rsid w:val="00EB73A6"/>
    <w:rsid w:val="00F107A7"/>
    <w:rsid w:val="00FC32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878D6D5"/>
  <w15:chartTrackingRefBased/>
  <w15:docId w15:val="{97115451-A9FE-7E40-848F-E0D0934A0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1FBD"/>
    <w:rPr>
      <w:color w:val="0563C1" w:themeColor="hyperlink"/>
      <w:u w:val="single"/>
    </w:rPr>
  </w:style>
  <w:style w:type="character" w:styleId="UnresolvedMention">
    <w:name w:val="Unresolved Mention"/>
    <w:basedOn w:val="DefaultParagraphFont"/>
    <w:uiPriority w:val="99"/>
    <w:semiHidden/>
    <w:unhideWhenUsed/>
    <w:rsid w:val="006B1FBD"/>
    <w:rPr>
      <w:color w:val="605E5C"/>
      <w:shd w:val="clear" w:color="auto" w:fill="E1DFDD"/>
    </w:rPr>
  </w:style>
  <w:style w:type="paragraph" w:styleId="ListParagraph">
    <w:name w:val="List Paragraph"/>
    <w:basedOn w:val="Normal"/>
    <w:uiPriority w:val="34"/>
    <w:qFormat/>
    <w:rsid w:val="00EB73A6"/>
    <w:pPr>
      <w:ind w:left="720"/>
      <w:contextualSpacing/>
    </w:pPr>
  </w:style>
  <w:style w:type="paragraph" w:styleId="Header">
    <w:name w:val="header"/>
    <w:basedOn w:val="Normal"/>
    <w:link w:val="HeaderChar"/>
    <w:uiPriority w:val="99"/>
    <w:unhideWhenUsed/>
    <w:rsid w:val="005C293E"/>
    <w:pPr>
      <w:tabs>
        <w:tab w:val="center" w:pos="4513"/>
        <w:tab w:val="right" w:pos="9026"/>
      </w:tabs>
    </w:pPr>
  </w:style>
  <w:style w:type="character" w:customStyle="1" w:styleId="HeaderChar">
    <w:name w:val="Header Char"/>
    <w:basedOn w:val="DefaultParagraphFont"/>
    <w:link w:val="Header"/>
    <w:uiPriority w:val="99"/>
    <w:rsid w:val="005C293E"/>
  </w:style>
  <w:style w:type="paragraph" w:styleId="Footer">
    <w:name w:val="footer"/>
    <w:basedOn w:val="Normal"/>
    <w:link w:val="FooterChar"/>
    <w:uiPriority w:val="99"/>
    <w:unhideWhenUsed/>
    <w:rsid w:val="005C293E"/>
    <w:pPr>
      <w:tabs>
        <w:tab w:val="center" w:pos="4513"/>
        <w:tab w:val="right" w:pos="9026"/>
      </w:tabs>
    </w:pPr>
  </w:style>
  <w:style w:type="character" w:customStyle="1" w:styleId="FooterChar">
    <w:name w:val="Footer Char"/>
    <w:basedOn w:val="DefaultParagraphFont"/>
    <w:link w:val="Footer"/>
    <w:uiPriority w:val="99"/>
    <w:rsid w:val="005C2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785876">
      <w:bodyDiv w:val="1"/>
      <w:marLeft w:val="0"/>
      <w:marRight w:val="0"/>
      <w:marTop w:val="0"/>
      <w:marBottom w:val="0"/>
      <w:divBdr>
        <w:top w:val="none" w:sz="0" w:space="0" w:color="auto"/>
        <w:left w:val="none" w:sz="0" w:space="0" w:color="auto"/>
        <w:bottom w:val="none" w:sz="0" w:space="0" w:color="auto"/>
        <w:right w:val="none" w:sz="0" w:space="0" w:color="auto"/>
      </w:divBdr>
    </w:div>
    <w:div w:id="1292441362">
      <w:bodyDiv w:val="1"/>
      <w:marLeft w:val="0"/>
      <w:marRight w:val="0"/>
      <w:marTop w:val="0"/>
      <w:marBottom w:val="0"/>
      <w:divBdr>
        <w:top w:val="none" w:sz="0" w:space="0" w:color="auto"/>
        <w:left w:val="none" w:sz="0" w:space="0" w:color="auto"/>
        <w:bottom w:val="none" w:sz="0" w:space="0" w:color="auto"/>
        <w:right w:val="none" w:sz="0" w:space="0" w:color="auto"/>
      </w:divBdr>
    </w:div>
    <w:div w:id="1779523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markmckillopbarrist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protect-au.mimecast.com/s/wyIrCJyBPrS1K253FyGQ4z?domain=markmckillopbarrister.wordpress.com/" TargetMode="External"/><Relationship Id="rId1" Type="http://schemas.openxmlformats.org/officeDocument/2006/relationships/hyperlink" Target="mailto:mark.mckillop@vicbar.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5</Pages>
  <Words>1395</Words>
  <Characters>7957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McKillop</dc:creator>
  <cp:keywords/>
  <dc:description/>
  <cp:lastModifiedBy>Mark McKillop</cp:lastModifiedBy>
  <cp:revision>4</cp:revision>
  <dcterms:created xsi:type="dcterms:W3CDTF">2020-10-12T00:39:00Z</dcterms:created>
  <dcterms:modified xsi:type="dcterms:W3CDTF">2020-10-12T02:51:00Z</dcterms:modified>
</cp:coreProperties>
</file>